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DCE" w:rsidRPr="00E720C7" w:rsidRDefault="00B11DCE" w:rsidP="00B11DCE">
      <w:pPr>
        <w:spacing w:after="0" w:line="240" w:lineRule="auto"/>
        <w:jc w:val="center"/>
        <w:rPr>
          <w:rFonts w:eastAsia="Times New Roman"/>
          <w:b/>
          <w:szCs w:val="24"/>
        </w:rPr>
      </w:pPr>
      <w:r w:rsidRPr="00E720C7">
        <w:rPr>
          <w:rFonts w:eastAsia="Times New Roman"/>
          <w:b/>
          <w:szCs w:val="24"/>
        </w:rPr>
        <w:t>RFA#</w:t>
      </w:r>
      <w:r>
        <w:rPr>
          <w:rFonts w:eastAsia="Times New Roman"/>
          <w:b/>
          <w:szCs w:val="24"/>
        </w:rPr>
        <w:t xml:space="preserve"> 18138</w:t>
      </w:r>
    </w:p>
    <w:p w:rsidR="00B11DCE" w:rsidRDefault="00B11DCE" w:rsidP="00B11DCE">
      <w:pPr>
        <w:spacing w:after="0" w:line="240" w:lineRule="auto"/>
        <w:jc w:val="center"/>
        <w:rPr>
          <w:rFonts w:eastAsia="Times New Roman"/>
          <w:b/>
          <w:szCs w:val="24"/>
        </w:rPr>
      </w:pPr>
      <w:r w:rsidRPr="00E720C7">
        <w:rPr>
          <w:rFonts w:eastAsia="Times New Roman"/>
          <w:b/>
          <w:szCs w:val="24"/>
        </w:rPr>
        <w:t>Clinical Education Initiative</w:t>
      </w:r>
      <w:bookmarkStart w:id="0" w:name="_GoBack"/>
      <w:bookmarkEnd w:id="0"/>
    </w:p>
    <w:p w:rsidR="00B11DCE" w:rsidRDefault="00B11DCE" w:rsidP="00B11DCE">
      <w:pPr>
        <w:spacing w:after="0" w:line="240" w:lineRule="auto"/>
        <w:jc w:val="center"/>
        <w:rPr>
          <w:rFonts w:eastAsia="Times New Roman"/>
          <w:b/>
          <w:szCs w:val="24"/>
        </w:rPr>
      </w:pPr>
    </w:p>
    <w:p w:rsidR="00B11DCE" w:rsidRPr="00E720C7" w:rsidRDefault="00B11DCE" w:rsidP="00B11DCE">
      <w:pPr>
        <w:spacing w:after="0" w:line="240" w:lineRule="auto"/>
        <w:jc w:val="center"/>
        <w:rPr>
          <w:rFonts w:eastAsia="Times New Roman"/>
          <w:b/>
          <w:szCs w:val="24"/>
        </w:rPr>
      </w:pPr>
      <w:r w:rsidRPr="00E720C7">
        <w:rPr>
          <w:rFonts w:eastAsia="Times New Roman"/>
          <w:b/>
          <w:szCs w:val="24"/>
        </w:rPr>
        <w:t xml:space="preserve">Glossary </w:t>
      </w:r>
      <w:r>
        <w:rPr>
          <w:rFonts w:eastAsia="Times New Roman"/>
          <w:b/>
          <w:szCs w:val="24"/>
        </w:rPr>
        <w:t xml:space="preserve">of </w:t>
      </w:r>
      <w:r w:rsidRPr="00E720C7">
        <w:rPr>
          <w:rFonts w:eastAsia="Times New Roman"/>
          <w:b/>
          <w:szCs w:val="24"/>
        </w:rPr>
        <w:t>Terms</w:t>
      </w:r>
    </w:p>
    <w:p w:rsidR="00B11DCE" w:rsidRPr="00E720C7" w:rsidRDefault="00B11DCE" w:rsidP="00B11DCE">
      <w:pPr>
        <w:spacing w:after="0" w:line="240" w:lineRule="auto"/>
        <w:jc w:val="center"/>
        <w:rPr>
          <w:rFonts w:eastAsia="Times New Roman"/>
          <w:b/>
          <w:szCs w:val="24"/>
        </w:rPr>
      </w:pPr>
    </w:p>
    <w:p w:rsidR="00B11DCE" w:rsidRPr="00E720C7" w:rsidRDefault="00B11DCE" w:rsidP="00B11DCE">
      <w:pPr>
        <w:spacing w:after="0" w:line="240" w:lineRule="auto"/>
        <w:rPr>
          <w:rFonts w:eastAsia="Times New Roman"/>
          <w:szCs w:val="24"/>
        </w:rPr>
      </w:pPr>
      <w:r w:rsidRPr="00E720C7">
        <w:rPr>
          <w:rFonts w:eastAsia="Times New Roman"/>
          <w:b/>
          <w:szCs w:val="24"/>
        </w:rPr>
        <w:t>Web Application or App:</w:t>
      </w:r>
      <w:r w:rsidRPr="00E720C7">
        <w:rPr>
          <w:rFonts w:eastAsia="Times New Roman"/>
          <w:szCs w:val="24"/>
        </w:rPr>
        <w:t xml:space="preserve">  A </w:t>
      </w:r>
      <w:r w:rsidRPr="00E720C7">
        <w:rPr>
          <w:rFonts w:eastAsia="Times New Roman"/>
          <w:bCs/>
          <w:szCs w:val="24"/>
        </w:rPr>
        <w:t>web application</w:t>
      </w:r>
      <w:r w:rsidRPr="00E720C7">
        <w:rPr>
          <w:rFonts w:eastAsia="Times New Roman"/>
          <w:szCs w:val="24"/>
        </w:rPr>
        <w:t xml:space="preserve"> or mobile application that provides learners with access to organized, easy to use information in the form of documents, videos and other tools via a computer or other mobile device.  An important feature of an app is the ability to automatically update information without requiring the learner to </w:t>
      </w:r>
      <w:proofErr w:type="gramStart"/>
      <w:r w:rsidRPr="00E720C7">
        <w:rPr>
          <w:rFonts w:eastAsia="Times New Roman"/>
          <w:szCs w:val="24"/>
        </w:rPr>
        <w:t>take action</w:t>
      </w:r>
      <w:proofErr w:type="gramEnd"/>
      <w:r w:rsidRPr="00E720C7">
        <w:rPr>
          <w:rFonts w:eastAsia="Times New Roman"/>
          <w:szCs w:val="24"/>
        </w:rPr>
        <w:t xml:space="preserve"> to reinstall or update the app. </w:t>
      </w:r>
    </w:p>
    <w:p w:rsidR="00B11DCE" w:rsidRPr="00E720C7" w:rsidRDefault="00B11DCE" w:rsidP="00B11DCE">
      <w:pPr>
        <w:spacing w:after="0" w:line="240" w:lineRule="auto"/>
        <w:rPr>
          <w:rFonts w:eastAsia="Times New Roman"/>
          <w:b/>
          <w:szCs w:val="24"/>
        </w:rPr>
      </w:pPr>
    </w:p>
    <w:p w:rsidR="00B11DCE" w:rsidRPr="00E720C7" w:rsidRDefault="00B11DCE" w:rsidP="00B11DCE">
      <w:pPr>
        <w:spacing w:after="0" w:line="240" w:lineRule="auto"/>
        <w:rPr>
          <w:rFonts w:eastAsia="Times New Roman"/>
          <w:szCs w:val="24"/>
        </w:rPr>
      </w:pPr>
      <w:r w:rsidRPr="00E720C7">
        <w:rPr>
          <w:rFonts w:eastAsia="Times New Roman"/>
          <w:b/>
          <w:szCs w:val="24"/>
        </w:rPr>
        <w:t xml:space="preserve">Conferences: </w:t>
      </w:r>
      <w:r w:rsidRPr="00E720C7">
        <w:rPr>
          <w:rFonts w:eastAsia="Times New Roman"/>
          <w:szCs w:val="24"/>
        </w:rPr>
        <w:t xml:space="preserve">conducted on highly focused or broad-scope topics organized by each Center </w:t>
      </w:r>
      <w:r>
        <w:rPr>
          <w:rFonts w:eastAsia="Times New Roman"/>
          <w:szCs w:val="24"/>
        </w:rPr>
        <w:t>o</w:t>
      </w:r>
      <w:r w:rsidRPr="00E720C7">
        <w:rPr>
          <w:rFonts w:eastAsia="Times New Roman"/>
          <w:szCs w:val="24"/>
        </w:rPr>
        <w:t xml:space="preserve">f Excellence and credited as their </w:t>
      </w:r>
      <w:r>
        <w:rPr>
          <w:rFonts w:eastAsia="Times New Roman"/>
          <w:szCs w:val="24"/>
        </w:rPr>
        <w:t>one</w:t>
      </w:r>
      <w:r w:rsidRPr="00E720C7">
        <w:rPr>
          <w:rFonts w:eastAsia="Times New Roman"/>
          <w:szCs w:val="24"/>
        </w:rPr>
        <w:t xml:space="preserve"> conference. Conferences solicit content from colleagues who are providing and sharing ideas and up to date information, and can be organized as either a full day or half day conference. </w:t>
      </w:r>
    </w:p>
    <w:p w:rsidR="00B11DCE" w:rsidRPr="00E720C7" w:rsidRDefault="00B11DCE" w:rsidP="00B11DCE">
      <w:pPr>
        <w:spacing w:after="0" w:line="240" w:lineRule="auto"/>
        <w:rPr>
          <w:rFonts w:eastAsia="Times New Roman"/>
          <w:b/>
          <w:szCs w:val="24"/>
        </w:rPr>
      </w:pPr>
    </w:p>
    <w:p w:rsidR="00B11DCE" w:rsidRPr="00E720C7" w:rsidRDefault="00B11DCE" w:rsidP="00B11DCE">
      <w:pPr>
        <w:spacing w:after="0" w:line="240" w:lineRule="auto"/>
        <w:rPr>
          <w:rFonts w:eastAsia="Times New Roman"/>
          <w:szCs w:val="24"/>
        </w:rPr>
      </w:pPr>
      <w:r w:rsidRPr="00E720C7">
        <w:rPr>
          <w:rFonts w:eastAsia="Times New Roman"/>
          <w:b/>
          <w:szCs w:val="24"/>
        </w:rPr>
        <w:t>Digital Health:</w:t>
      </w:r>
      <w:r w:rsidRPr="00E720C7">
        <w:rPr>
          <w:rFonts w:eastAsia="Times New Roman"/>
          <w:szCs w:val="24"/>
        </w:rPr>
        <w:t xml:space="preserve"> the provision of health promotion or health care services mediated by digital technology such as mobile devices, sensors, social media, genomics, internet, health information technology, artificial intelligence, and data systems.</w:t>
      </w:r>
    </w:p>
    <w:p w:rsidR="00B11DCE" w:rsidRPr="00E720C7" w:rsidRDefault="00B11DCE" w:rsidP="00B11DCE">
      <w:pPr>
        <w:spacing w:after="0" w:line="240" w:lineRule="auto"/>
        <w:rPr>
          <w:rFonts w:eastAsia="Times New Roman"/>
          <w:b/>
          <w:szCs w:val="24"/>
        </w:rPr>
      </w:pPr>
    </w:p>
    <w:p w:rsidR="00B11DCE" w:rsidRPr="00E720C7" w:rsidRDefault="00B11DCE" w:rsidP="00B11DCE">
      <w:pPr>
        <w:spacing w:after="0" w:line="240" w:lineRule="auto"/>
        <w:rPr>
          <w:rFonts w:eastAsia="Times New Roman"/>
          <w:b/>
          <w:szCs w:val="24"/>
        </w:rPr>
      </w:pPr>
      <w:r w:rsidRPr="00E720C7">
        <w:rPr>
          <w:rFonts w:eastAsia="Times New Roman"/>
          <w:b/>
          <w:szCs w:val="24"/>
        </w:rPr>
        <w:t>Distance Learning or</w:t>
      </w:r>
      <w:r w:rsidRPr="00E720C7">
        <w:rPr>
          <w:rFonts w:eastAsia="Times New Roman"/>
          <w:szCs w:val="24"/>
        </w:rPr>
        <w:t xml:space="preserve"> </w:t>
      </w:r>
      <w:r w:rsidRPr="00E720C7">
        <w:rPr>
          <w:rFonts w:eastAsia="Times New Roman"/>
          <w:b/>
          <w:bCs/>
          <w:szCs w:val="24"/>
        </w:rPr>
        <w:t xml:space="preserve">Distance Education: </w:t>
      </w:r>
      <w:r w:rsidRPr="00E720C7">
        <w:rPr>
          <w:rFonts w:eastAsia="Times New Roman"/>
          <w:bCs/>
          <w:szCs w:val="24"/>
        </w:rPr>
        <w:t>a very broad term referring to any</w:t>
      </w:r>
      <w:r w:rsidRPr="00E720C7">
        <w:rPr>
          <w:rFonts w:eastAsia="Times New Roman"/>
          <w:b/>
          <w:bCs/>
          <w:szCs w:val="24"/>
        </w:rPr>
        <w:t xml:space="preserve"> </w:t>
      </w:r>
      <w:r w:rsidRPr="00E720C7">
        <w:rPr>
          <w:rFonts w:eastAsia="Times New Roman"/>
          <w:szCs w:val="24"/>
        </w:rPr>
        <w:t>mode of delivering education or instruction to clinicians who are not physically present in a traditional setting. Distance learning provides access to learning when the source of information and the learners are separated by time and distance, or both.</w:t>
      </w:r>
    </w:p>
    <w:p w:rsidR="00B11DCE" w:rsidRPr="00E720C7" w:rsidRDefault="00B11DCE" w:rsidP="00B11DCE">
      <w:pPr>
        <w:spacing w:after="0" w:line="240" w:lineRule="auto"/>
        <w:rPr>
          <w:rFonts w:eastAsia="Times New Roman"/>
          <w:b/>
          <w:szCs w:val="24"/>
        </w:rPr>
      </w:pPr>
    </w:p>
    <w:p w:rsidR="00B11DCE" w:rsidRPr="00E720C7" w:rsidRDefault="00B11DCE" w:rsidP="00B11DCE">
      <w:pPr>
        <w:spacing w:after="0" w:line="240" w:lineRule="auto"/>
        <w:rPr>
          <w:rFonts w:eastAsia="Times New Roman"/>
          <w:b/>
          <w:szCs w:val="24"/>
        </w:rPr>
      </w:pPr>
      <w:r w:rsidRPr="00E720C7">
        <w:rPr>
          <w:rFonts w:eastAsia="Times New Roman"/>
          <w:b/>
          <w:szCs w:val="24"/>
        </w:rPr>
        <w:t xml:space="preserve">ECHO (Extension for Community Healthcare Outcomes): </w:t>
      </w:r>
      <w:r w:rsidRPr="00E720C7">
        <w:rPr>
          <w:rFonts w:eastAsia="Times New Roman"/>
          <w:szCs w:val="24"/>
        </w:rPr>
        <w:t>a video conference-based “</w:t>
      </w:r>
      <w:proofErr w:type="spellStart"/>
      <w:r w:rsidRPr="00E720C7">
        <w:rPr>
          <w:rFonts w:eastAsia="Times New Roman"/>
          <w:szCs w:val="24"/>
        </w:rPr>
        <w:t>telementoring</w:t>
      </w:r>
      <w:proofErr w:type="spellEnd"/>
      <w:r w:rsidRPr="00E720C7">
        <w:rPr>
          <w:rFonts w:eastAsia="Times New Roman"/>
          <w:szCs w:val="24"/>
        </w:rPr>
        <w:t xml:space="preserve">” program that brings together providers with CEI experts to build a learning community using brief didactics and case-based discussions.  </w:t>
      </w:r>
    </w:p>
    <w:p w:rsidR="00B11DCE" w:rsidRPr="00E720C7" w:rsidRDefault="00B11DCE" w:rsidP="00B11DCE">
      <w:pPr>
        <w:spacing w:after="0" w:line="240" w:lineRule="auto"/>
        <w:rPr>
          <w:rFonts w:eastAsia="Times New Roman"/>
          <w:b/>
          <w:szCs w:val="24"/>
        </w:rPr>
      </w:pPr>
    </w:p>
    <w:p w:rsidR="00B11DCE" w:rsidRPr="00E720C7" w:rsidRDefault="00B11DCE" w:rsidP="00B11DCE">
      <w:pPr>
        <w:spacing w:after="0" w:line="240" w:lineRule="auto"/>
      </w:pPr>
      <w:r w:rsidRPr="00E720C7">
        <w:rPr>
          <w:rFonts w:eastAsia="Times New Roman"/>
          <w:b/>
          <w:szCs w:val="24"/>
        </w:rPr>
        <w:t xml:space="preserve">Health Hubs: </w:t>
      </w:r>
      <w:r w:rsidRPr="00E720C7">
        <w:t xml:space="preserve">The Drug User Health Hubs are expected to improve the availability and accessibility of an array of appropriate health, mental health, and medication assisted treatment services for people who use drugs, especially but not solely injection drug users (IDUs). </w:t>
      </w:r>
      <w:r>
        <w:t xml:space="preserve">Reference:  </w:t>
      </w:r>
      <w:hyperlink r:id="rId7" w:history="1">
        <w:r w:rsidRPr="00E720C7">
          <w:rPr>
            <w:rStyle w:val="Hyperlink"/>
          </w:rPr>
          <w:t>https://www.health.ny.gov/diseases/aids/consumers/prevention/</w:t>
        </w:r>
      </w:hyperlink>
      <w:r>
        <w:rPr>
          <w:rStyle w:val="Hyperlink"/>
        </w:rPr>
        <w:t>.</w:t>
      </w:r>
    </w:p>
    <w:p w:rsidR="00B11DCE" w:rsidRPr="00E720C7" w:rsidRDefault="00B11DCE" w:rsidP="00B11DCE">
      <w:pPr>
        <w:spacing w:after="0" w:line="240" w:lineRule="auto"/>
        <w:rPr>
          <w:rFonts w:eastAsia="Times New Roman"/>
          <w:b/>
          <w:szCs w:val="24"/>
        </w:rPr>
      </w:pPr>
    </w:p>
    <w:p w:rsidR="00B11DCE" w:rsidRPr="00E720C7" w:rsidRDefault="00B11DCE" w:rsidP="00B11DCE">
      <w:pPr>
        <w:spacing w:after="0" w:line="240" w:lineRule="auto"/>
        <w:rPr>
          <w:rFonts w:eastAsia="Times New Roman"/>
          <w:szCs w:val="24"/>
        </w:rPr>
      </w:pPr>
      <w:r w:rsidRPr="00E720C7">
        <w:rPr>
          <w:rFonts w:eastAsia="Times New Roman"/>
          <w:b/>
          <w:szCs w:val="24"/>
        </w:rPr>
        <w:t>Narrated Slide Presentation</w:t>
      </w:r>
      <w:r w:rsidRPr="00E720C7">
        <w:rPr>
          <w:rFonts w:eastAsia="Times New Roman"/>
          <w:szCs w:val="24"/>
        </w:rPr>
        <w:t xml:space="preserve">: an educational presentation using slides or other visuals along with pre-recorded narration by the instructor.  A narrated slide presentation to progress automatically or at the learner’s direction, often using software such as Microsoft </w:t>
      </w:r>
      <w:proofErr w:type="spellStart"/>
      <w:r w:rsidRPr="00E720C7">
        <w:rPr>
          <w:rFonts w:eastAsia="Times New Roman"/>
          <w:szCs w:val="24"/>
        </w:rPr>
        <w:t>Powerpoint</w:t>
      </w:r>
      <w:proofErr w:type="spellEnd"/>
      <w:r w:rsidRPr="00E720C7">
        <w:rPr>
          <w:rFonts w:eastAsia="Times New Roman"/>
          <w:szCs w:val="24"/>
        </w:rPr>
        <w:t>.</w:t>
      </w:r>
    </w:p>
    <w:p w:rsidR="00B11DCE" w:rsidRPr="00E720C7" w:rsidRDefault="00B11DCE" w:rsidP="00B11DCE">
      <w:pPr>
        <w:spacing w:after="0" w:line="240" w:lineRule="auto"/>
        <w:rPr>
          <w:rFonts w:eastAsia="Times New Roman"/>
          <w:szCs w:val="24"/>
        </w:rPr>
      </w:pPr>
    </w:p>
    <w:p w:rsidR="00B11DCE" w:rsidRPr="00E720C7" w:rsidRDefault="00B11DCE" w:rsidP="00B11DCE">
      <w:pPr>
        <w:spacing w:after="0" w:line="240" w:lineRule="auto"/>
        <w:rPr>
          <w:rFonts w:eastAsia="Times New Roman"/>
          <w:color w:val="000000"/>
          <w:szCs w:val="24"/>
        </w:rPr>
      </w:pPr>
      <w:r w:rsidRPr="00E720C7">
        <w:rPr>
          <w:rFonts w:eastAsia="Times New Roman"/>
          <w:b/>
          <w:szCs w:val="24"/>
        </w:rPr>
        <w:t>Interactive On-Line Training:</w:t>
      </w:r>
      <w:r w:rsidRPr="00E720C7">
        <w:rPr>
          <w:rFonts w:eastAsia="Times New Roman"/>
          <w:szCs w:val="24"/>
        </w:rPr>
        <w:t xml:space="preserve"> a formal, organized training that can be accessed 24 hours a day on the internet that is</w:t>
      </w:r>
      <w:r w:rsidRPr="00E720C7">
        <w:rPr>
          <w:rFonts w:eastAsia="Times New Roman"/>
          <w:color w:val="000000"/>
          <w:szCs w:val="24"/>
        </w:rPr>
        <w:t xml:space="preserve"> self-paced and actively engages the learner with the material.  Interactive distance learning trainings supported under the initiative should not require live facilitation.  </w:t>
      </w:r>
    </w:p>
    <w:p w:rsidR="00B11DCE" w:rsidRPr="00E720C7" w:rsidRDefault="00B11DCE" w:rsidP="00B11DCE">
      <w:pPr>
        <w:spacing w:after="0" w:line="240" w:lineRule="auto"/>
        <w:rPr>
          <w:rFonts w:eastAsia="Times New Roman"/>
          <w:b/>
          <w:color w:val="000000"/>
          <w:szCs w:val="24"/>
        </w:rPr>
      </w:pPr>
    </w:p>
    <w:p w:rsidR="00B11DCE" w:rsidRPr="00E720C7" w:rsidRDefault="00B11DCE" w:rsidP="00B11DCE">
      <w:pPr>
        <w:spacing w:after="0" w:line="240" w:lineRule="auto"/>
        <w:rPr>
          <w:rFonts w:eastAsia="Times New Roman"/>
          <w:color w:val="000000"/>
          <w:szCs w:val="24"/>
        </w:rPr>
      </w:pPr>
      <w:r w:rsidRPr="00E720C7">
        <w:rPr>
          <w:rFonts w:eastAsia="Times New Roman"/>
          <w:b/>
          <w:color w:val="000000"/>
          <w:szCs w:val="24"/>
        </w:rPr>
        <w:t>Preceptorship</w:t>
      </w:r>
      <w:r w:rsidRPr="00E720C7">
        <w:rPr>
          <w:rFonts w:eastAsia="Times New Roman"/>
          <w:color w:val="000000"/>
          <w:szCs w:val="24"/>
        </w:rPr>
        <w:t>: intensive, in-person clinical skills train</w:t>
      </w:r>
      <w:r>
        <w:rPr>
          <w:rFonts w:eastAsia="Times New Roman"/>
          <w:color w:val="000000"/>
          <w:szCs w:val="24"/>
        </w:rPr>
        <w:t>ing</w:t>
      </w:r>
      <w:r w:rsidRPr="00E720C7">
        <w:rPr>
          <w:rFonts w:eastAsia="Times New Roman"/>
          <w:color w:val="000000"/>
          <w:szCs w:val="24"/>
        </w:rPr>
        <w:t xml:space="preserve"> with a preceptor. Mentorship experience and education program in which practicing clinicians receive didactic sessions and in-person experiential instruction and training from HIV, STI, HCV, and drug user health experts.</w:t>
      </w:r>
    </w:p>
    <w:p w:rsidR="00B11DCE" w:rsidRPr="00E720C7" w:rsidRDefault="00B11DCE" w:rsidP="00B11DCE">
      <w:pPr>
        <w:spacing w:after="0" w:line="240" w:lineRule="auto"/>
        <w:rPr>
          <w:rFonts w:eastAsia="Times New Roman"/>
          <w:b/>
          <w:szCs w:val="24"/>
        </w:rPr>
      </w:pPr>
    </w:p>
    <w:p w:rsidR="00B11DCE" w:rsidRPr="00E720C7" w:rsidRDefault="00B11DCE" w:rsidP="00B11DCE">
      <w:pPr>
        <w:spacing w:after="0" w:line="240" w:lineRule="auto"/>
        <w:rPr>
          <w:rFonts w:eastAsia="Times New Roman"/>
          <w:b/>
          <w:szCs w:val="24"/>
        </w:rPr>
      </w:pPr>
      <w:r w:rsidRPr="00E720C7">
        <w:rPr>
          <w:rFonts w:eastAsia="Times New Roman"/>
          <w:b/>
          <w:szCs w:val="24"/>
        </w:rPr>
        <w:lastRenderedPageBreak/>
        <w:t xml:space="preserve">Social Media: </w:t>
      </w:r>
      <w:r w:rsidRPr="00E720C7">
        <w:rPr>
          <w:rFonts w:eastAsia="Times New Roman"/>
          <w:szCs w:val="24"/>
        </w:rPr>
        <w:t xml:space="preserve">a form of electronic communication (e.g. websites for social networking- Facebook, Twitter, LinkedIn, Instagram, YouTube, etc.) through which users (i.e. healthcare professionals and microblogging) create online communities to share clinical information, discuss healthcare policy and practice issues, and engage, educate and interact with other health professionals and affiliated health organizations. </w:t>
      </w:r>
    </w:p>
    <w:p w:rsidR="00B11DCE" w:rsidRPr="00E720C7" w:rsidRDefault="00B11DCE" w:rsidP="00B11DCE">
      <w:pPr>
        <w:spacing w:after="0" w:line="240" w:lineRule="auto"/>
        <w:rPr>
          <w:rFonts w:eastAsia="Times New Roman"/>
          <w:color w:val="000000"/>
          <w:szCs w:val="24"/>
        </w:rPr>
      </w:pPr>
    </w:p>
    <w:p w:rsidR="00B11DCE" w:rsidRPr="00E720C7" w:rsidRDefault="00B11DCE" w:rsidP="00B11DCE">
      <w:pPr>
        <w:spacing w:after="0" w:line="240" w:lineRule="auto"/>
        <w:rPr>
          <w:rFonts w:eastAsia="Times New Roman"/>
          <w:szCs w:val="24"/>
        </w:rPr>
      </w:pPr>
      <w:r w:rsidRPr="00E720C7">
        <w:rPr>
          <w:rFonts w:eastAsia="Times New Roman"/>
          <w:b/>
          <w:szCs w:val="24"/>
        </w:rPr>
        <w:t>Teleconsulting</w:t>
      </w:r>
      <w:r w:rsidRPr="00E720C7">
        <w:rPr>
          <w:rFonts w:eastAsia="Times New Roman"/>
          <w:szCs w:val="24"/>
        </w:rPr>
        <w:t xml:space="preserve">: a form of case-based clinical consultation which uses video-conferencing technology to connect an instructor/specialist with primary care providers at one or more remote sites for the purposes of collaborative decision-making in the diagnosis and treatment of the learner’s patients, without requiring the presence of the patient. </w:t>
      </w:r>
    </w:p>
    <w:p w:rsidR="00B11DCE" w:rsidRPr="00E720C7" w:rsidRDefault="00B11DCE" w:rsidP="00B11DCE">
      <w:pPr>
        <w:spacing w:after="0" w:line="240" w:lineRule="auto"/>
        <w:rPr>
          <w:rFonts w:eastAsia="Times New Roman"/>
          <w:color w:val="000000"/>
          <w:szCs w:val="24"/>
        </w:rPr>
      </w:pPr>
    </w:p>
    <w:p w:rsidR="00B11DCE" w:rsidRPr="00E720C7" w:rsidRDefault="00B11DCE" w:rsidP="00B11DCE">
      <w:pPr>
        <w:spacing w:after="0" w:line="240" w:lineRule="auto"/>
        <w:rPr>
          <w:rFonts w:eastAsia="Times New Roman"/>
          <w:szCs w:val="24"/>
        </w:rPr>
      </w:pPr>
      <w:r w:rsidRPr="00E720C7">
        <w:rPr>
          <w:rFonts w:eastAsia="Times New Roman"/>
          <w:b/>
          <w:szCs w:val="24"/>
        </w:rPr>
        <w:t>Webcast:</w:t>
      </w:r>
      <w:r w:rsidRPr="00E720C7">
        <w:rPr>
          <w:rFonts w:eastAsia="Times New Roman"/>
          <w:szCs w:val="24"/>
        </w:rPr>
        <w:t xml:space="preserve"> an educational presentation that may be live or pre-recorded in which both audio and video are accessed by the learner via the internet or materials downloaded from the internet.  In many cases, the learner will use Windows Media Player, </w:t>
      </w:r>
      <w:proofErr w:type="spellStart"/>
      <w:r w:rsidRPr="00E720C7">
        <w:rPr>
          <w:rFonts w:eastAsia="Times New Roman"/>
          <w:szCs w:val="24"/>
        </w:rPr>
        <w:t>Quicktime</w:t>
      </w:r>
      <w:proofErr w:type="spellEnd"/>
      <w:r w:rsidRPr="00E720C7">
        <w:rPr>
          <w:rFonts w:eastAsia="Times New Roman"/>
          <w:szCs w:val="24"/>
        </w:rPr>
        <w:t xml:space="preserve"> or another player to view and listen to the program.  Examples of webcast range from live streaming of a presentation to posting a video of a previously recorded presentation.  </w:t>
      </w:r>
    </w:p>
    <w:p w:rsidR="00B11DCE" w:rsidRDefault="00B11DCE" w:rsidP="00B11DCE">
      <w:pPr>
        <w:spacing w:after="0" w:line="240" w:lineRule="auto"/>
        <w:rPr>
          <w:rFonts w:eastAsia="Times New Roman"/>
          <w:b/>
          <w:szCs w:val="24"/>
        </w:rPr>
      </w:pPr>
    </w:p>
    <w:p w:rsidR="00B11DCE" w:rsidRPr="00E720C7" w:rsidRDefault="00B11DCE" w:rsidP="00B11DCE">
      <w:pPr>
        <w:spacing w:after="0" w:line="240" w:lineRule="auto"/>
        <w:rPr>
          <w:rFonts w:eastAsia="Times New Roman"/>
          <w:szCs w:val="24"/>
        </w:rPr>
      </w:pPr>
      <w:r w:rsidRPr="00E720C7">
        <w:rPr>
          <w:rFonts w:eastAsia="Times New Roman"/>
          <w:b/>
          <w:szCs w:val="24"/>
        </w:rPr>
        <w:t>Webinar</w:t>
      </w:r>
      <w:r w:rsidRPr="00E720C7">
        <w:rPr>
          <w:rFonts w:eastAsia="Times New Roman"/>
          <w:szCs w:val="24"/>
        </w:rPr>
        <w:t xml:space="preserve">: a live online educational presentation during which participating viewers can submit questions and comments. Webinars are generally hosted via a particular webinar platform such as Abode, </w:t>
      </w:r>
      <w:proofErr w:type="spellStart"/>
      <w:r w:rsidRPr="00E720C7">
        <w:rPr>
          <w:rFonts w:eastAsia="Times New Roman"/>
          <w:szCs w:val="24"/>
        </w:rPr>
        <w:t>Webex</w:t>
      </w:r>
      <w:proofErr w:type="spellEnd"/>
      <w:r w:rsidRPr="00E720C7">
        <w:rPr>
          <w:rFonts w:eastAsia="Times New Roman"/>
          <w:szCs w:val="24"/>
        </w:rPr>
        <w:t>, Zoom or other service. In some cases, the learner will access both audio and video via a computer and in other cases, audio may be accessed via the telephone.</w:t>
      </w:r>
    </w:p>
    <w:p w:rsidR="00B11DCE" w:rsidRPr="00E720C7" w:rsidRDefault="00B11DCE" w:rsidP="00B11DCE">
      <w:pPr>
        <w:spacing w:after="0" w:line="240" w:lineRule="auto"/>
        <w:rPr>
          <w:rFonts w:eastAsia="Times New Roman"/>
          <w:szCs w:val="24"/>
        </w:rPr>
      </w:pPr>
    </w:p>
    <w:p w:rsidR="00B11DCE" w:rsidRPr="00E720C7" w:rsidRDefault="00B11DCE" w:rsidP="00B11DCE">
      <w:pPr>
        <w:spacing w:after="0" w:line="240" w:lineRule="auto"/>
        <w:rPr>
          <w:rFonts w:eastAsia="Times New Roman"/>
          <w:szCs w:val="24"/>
        </w:rPr>
      </w:pPr>
    </w:p>
    <w:p w:rsidR="00B11DCE" w:rsidRPr="00E720C7" w:rsidRDefault="00B11DCE" w:rsidP="00B11DCE">
      <w:pPr>
        <w:spacing w:after="0" w:line="240" w:lineRule="auto"/>
        <w:rPr>
          <w:rFonts w:eastAsia="Times New Roman"/>
          <w:szCs w:val="24"/>
        </w:rPr>
      </w:pPr>
    </w:p>
    <w:p w:rsidR="00B11DCE" w:rsidRPr="00E720C7" w:rsidRDefault="00B11DCE" w:rsidP="00B11DCE">
      <w:pPr>
        <w:spacing w:after="0" w:line="240" w:lineRule="auto"/>
        <w:rPr>
          <w:rFonts w:eastAsia="Times New Roman"/>
          <w:szCs w:val="24"/>
        </w:rPr>
      </w:pPr>
    </w:p>
    <w:p w:rsidR="00662A89" w:rsidRDefault="00662A89" w:rsidP="002B6C38">
      <w:pPr>
        <w:spacing w:after="200" w:line="276" w:lineRule="auto"/>
        <w:rPr>
          <w:rFonts w:eastAsia="Times New Roman"/>
          <w:szCs w:val="24"/>
        </w:rPr>
      </w:pPr>
    </w:p>
    <w:p w:rsidR="00662A89" w:rsidRDefault="00662A89" w:rsidP="002B6C38">
      <w:pPr>
        <w:spacing w:after="200" w:line="276" w:lineRule="auto"/>
        <w:rPr>
          <w:rFonts w:eastAsia="Times New Roman"/>
          <w:szCs w:val="24"/>
        </w:rPr>
      </w:pPr>
    </w:p>
    <w:p w:rsidR="00662A89" w:rsidRDefault="00662A89" w:rsidP="002B6C38">
      <w:pPr>
        <w:spacing w:after="200" w:line="276" w:lineRule="auto"/>
        <w:rPr>
          <w:rFonts w:eastAsia="Times New Roman"/>
          <w:szCs w:val="24"/>
        </w:rPr>
      </w:pPr>
    </w:p>
    <w:p w:rsidR="00662A89" w:rsidRDefault="00662A89" w:rsidP="002B6C38">
      <w:pPr>
        <w:spacing w:after="200" w:line="276" w:lineRule="auto"/>
        <w:rPr>
          <w:rFonts w:eastAsia="Times New Roman"/>
          <w:szCs w:val="24"/>
        </w:rPr>
      </w:pPr>
    </w:p>
    <w:p w:rsidR="00662A89" w:rsidRDefault="00662A89" w:rsidP="002B6C38">
      <w:pPr>
        <w:spacing w:after="200" w:line="276" w:lineRule="auto"/>
        <w:rPr>
          <w:rFonts w:eastAsia="Times New Roman"/>
          <w:szCs w:val="24"/>
        </w:rPr>
      </w:pPr>
    </w:p>
    <w:p w:rsidR="00662A89" w:rsidRDefault="00662A89" w:rsidP="002B6C38">
      <w:pPr>
        <w:spacing w:after="200" w:line="276" w:lineRule="auto"/>
        <w:rPr>
          <w:rFonts w:eastAsia="Times New Roman"/>
          <w:szCs w:val="24"/>
        </w:rPr>
      </w:pPr>
    </w:p>
    <w:p w:rsidR="00662A89" w:rsidRDefault="00662A89" w:rsidP="002B6C38">
      <w:pPr>
        <w:spacing w:after="200" w:line="276" w:lineRule="auto"/>
        <w:rPr>
          <w:rFonts w:eastAsia="Times New Roman"/>
          <w:szCs w:val="24"/>
        </w:rPr>
      </w:pPr>
    </w:p>
    <w:p w:rsidR="00662A89" w:rsidRDefault="00662A89" w:rsidP="002B6C38">
      <w:pPr>
        <w:spacing w:after="200" w:line="276" w:lineRule="auto"/>
        <w:rPr>
          <w:rFonts w:eastAsia="Times New Roman"/>
          <w:szCs w:val="24"/>
        </w:rPr>
      </w:pPr>
    </w:p>
    <w:p w:rsidR="00662A89" w:rsidRDefault="00662A89" w:rsidP="002B6C38">
      <w:pPr>
        <w:spacing w:after="200" w:line="276" w:lineRule="auto"/>
        <w:rPr>
          <w:rFonts w:eastAsia="Times New Roman"/>
          <w:szCs w:val="24"/>
        </w:rPr>
      </w:pPr>
    </w:p>
    <w:sectPr w:rsidR="00662A8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836" w:rsidRDefault="00B42836" w:rsidP="00B42836">
      <w:pPr>
        <w:spacing w:after="0" w:line="240" w:lineRule="auto"/>
      </w:pPr>
      <w:r>
        <w:separator/>
      </w:r>
    </w:p>
  </w:endnote>
  <w:endnote w:type="continuationSeparator" w:id="0">
    <w:p w:rsidR="00B42836" w:rsidRDefault="00B42836" w:rsidP="00B42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836" w:rsidRDefault="00B42836" w:rsidP="00B42836">
      <w:pPr>
        <w:spacing w:after="0" w:line="240" w:lineRule="auto"/>
      </w:pPr>
      <w:r>
        <w:separator/>
      </w:r>
    </w:p>
  </w:footnote>
  <w:footnote w:type="continuationSeparator" w:id="0">
    <w:p w:rsidR="00B42836" w:rsidRDefault="00B42836" w:rsidP="00B42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836" w:rsidRPr="00CD0148" w:rsidRDefault="00B42836">
    <w:pPr>
      <w:pStyle w:val="Header"/>
      <w:rPr>
        <w:rFonts w:ascii="Times New Roman" w:hAnsi="Times New Roman" w:cs="Times New Roman"/>
        <w:b/>
        <w:sz w:val="24"/>
        <w:szCs w:val="24"/>
      </w:rPr>
    </w:pPr>
    <w:r>
      <w:tab/>
    </w:r>
    <w:r>
      <w:tab/>
    </w:r>
    <w:r w:rsidRPr="00CD0148">
      <w:rPr>
        <w:rFonts w:ascii="Times New Roman" w:hAnsi="Times New Roman" w:cs="Times New Roman"/>
        <w:b/>
        <w:sz w:val="24"/>
        <w:szCs w:val="24"/>
      </w:rPr>
      <w:t>Attachment</w:t>
    </w:r>
    <w:r w:rsidR="004E1A3F" w:rsidRPr="00CD0148">
      <w:rPr>
        <w:rFonts w:ascii="Times New Roman" w:hAnsi="Times New Roman" w:cs="Times New Roman"/>
        <w:b/>
        <w:sz w:val="24"/>
        <w:szCs w:val="24"/>
      </w:rPr>
      <w:t xml:space="preserve"> 5</w:t>
    </w:r>
  </w:p>
  <w:p w:rsidR="00B42836" w:rsidRDefault="00B42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136BC"/>
    <w:multiLevelType w:val="multilevel"/>
    <w:tmpl w:val="29C4A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7A02CE"/>
    <w:multiLevelType w:val="multilevel"/>
    <w:tmpl w:val="6F34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017CFA"/>
    <w:multiLevelType w:val="multilevel"/>
    <w:tmpl w:val="8BF0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4249B0"/>
    <w:multiLevelType w:val="multilevel"/>
    <w:tmpl w:val="3A70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1A1B0B"/>
    <w:multiLevelType w:val="multilevel"/>
    <w:tmpl w:val="407E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9C0CBE"/>
    <w:multiLevelType w:val="multilevel"/>
    <w:tmpl w:val="11E6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2733F9"/>
    <w:multiLevelType w:val="multilevel"/>
    <w:tmpl w:val="18CE0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29447D"/>
    <w:multiLevelType w:val="multilevel"/>
    <w:tmpl w:val="5EFC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7"/>
  </w:num>
  <w:num w:numId="5">
    <w:abstractNumId w:val="6"/>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38"/>
    <w:rsid w:val="00231451"/>
    <w:rsid w:val="002B6C38"/>
    <w:rsid w:val="00336B92"/>
    <w:rsid w:val="004355C6"/>
    <w:rsid w:val="00492752"/>
    <w:rsid w:val="004B02FE"/>
    <w:rsid w:val="004E1A3F"/>
    <w:rsid w:val="004E6C8C"/>
    <w:rsid w:val="00542DBA"/>
    <w:rsid w:val="00543CF4"/>
    <w:rsid w:val="00554D93"/>
    <w:rsid w:val="005E6514"/>
    <w:rsid w:val="00645468"/>
    <w:rsid w:val="00662A89"/>
    <w:rsid w:val="00731593"/>
    <w:rsid w:val="00770E03"/>
    <w:rsid w:val="00801461"/>
    <w:rsid w:val="0093726C"/>
    <w:rsid w:val="009A5E66"/>
    <w:rsid w:val="009D0F92"/>
    <w:rsid w:val="00A44303"/>
    <w:rsid w:val="00AA68F9"/>
    <w:rsid w:val="00B11DCE"/>
    <w:rsid w:val="00B42836"/>
    <w:rsid w:val="00C41D79"/>
    <w:rsid w:val="00C95A7E"/>
    <w:rsid w:val="00CD0148"/>
    <w:rsid w:val="00D74572"/>
    <w:rsid w:val="00E158A7"/>
    <w:rsid w:val="00EA2E8A"/>
    <w:rsid w:val="00F37CF8"/>
    <w:rsid w:val="00FA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30424"/>
  <w15:chartTrackingRefBased/>
  <w15:docId w15:val="{3C33E151-7F0F-4BFD-B764-614B400C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11DCE"/>
    <w:rPr>
      <w:rFonts w:ascii="Times New Roman" w:eastAsia="Calibri"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4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451"/>
    <w:rPr>
      <w:rFonts w:ascii="Segoe UI" w:hAnsi="Segoe UI" w:cs="Segoe UI"/>
      <w:sz w:val="18"/>
      <w:szCs w:val="18"/>
    </w:rPr>
  </w:style>
  <w:style w:type="character" w:styleId="Hyperlink">
    <w:name w:val="Hyperlink"/>
    <w:basedOn w:val="DefaultParagraphFont"/>
    <w:uiPriority w:val="99"/>
    <w:unhideWhenUsed/>
    <w:rsid w:val="00731593"/>
    <w:rPr>
      <w:color w:val="0563C1" w:themeColor="hyperlink"/>
      <w:u w:val="single"/>
    </w:rPr>
  </w:style>
  <w:style w:type="character" w:styleId="UnresolvedMention">
    <w:name w:val="Unresolved Mention"/>
    <w:basedOn w:val="DefaultParagraphFont"/>
    <w:uiPriority w:val="99"/>
    <w:semiHidden/>
    <w:unhideWhenUsed/>
    <w:rsid w:val="00731593"/>
    <w:rPr>
      <w:color w:val="808080"/>
      <w:shd w:val="clear" w:color="auto" w:fill="E6E6E6"/>
    </w:rPr>
  </w:style>
  <w:style w:type="paragraph" w:styleId="Header">
    <w:name w:val="header"/>
    <w:basedOn w:val="Normal"/>
    <w:link w:val="HeaderChar"/>
    <w:uiPriority w:val="99"/>
    <w:unhideWhenUsed/>
    <w:rsid w:val="00B42836"/>
    <w:pPr>
      <w:tabs>
        <w:tab w:val="center" w:pos="4680"/>
        <w:tab w:val="right" w:pos="9360"/>
      </w:tabs>
      <w:spacing w:after="0" w:line="240" w:lineRule="auto"/>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B42836"/>
  </w:style>
  <w:style w:type="paragraph" w:styleId="Footer">
    <w:name w:val="footer"/>
    <w:basedOn w:val="Normal"/>
    <w:link w:val="FooterChar"/>
    <w:uiPriority w:val="99"/>
    <w:unhideWhenUsed/>
    <w:rsid w:val="00B42836"/>
    <w:pPr>
      <w:tabs>
        <w:tab w:val="center" w:pos="4680"/>
        <w:tab w:val="right" w:pos="9360"/>
      </w:tabs>
      <w:spacing w:after="0" w:line="240" w:lineRule="auto"/>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B42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ealth.ny.gov/diseases/aids/consumers/preven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Aladin, Beatrice (HEALTH)</dc:creator>
  <cp:keywords/>
  <dc:description/>
  <cp:lastModifiedBy>DiGuilio, Michele A (HEALTH)</cp:lastModifiedBy>
  <cp:revision>2</cp:revision>
  <cp:lastPrinted>2018-07-09T19:52:00Z</cp:lastPrinted>
  <dcterms:created xsi:type="dcterms:W3CDTF">2018-12-06T13:43:00Z</dcterms:created>
  <dcterms:modified xsi:type="dcterms:W3CDTF">2018-12-06T13:43:00Z</dcterms:modified>
</cp:coreProperties>
</file>