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B72B" w14:textId="356FB7CB" w:rsidR="006F300A" w:rsidRPr="005F460A" w:rsidRDefault="005F460A" w:rsidP="005F460A">
      <w:pPr>
        <w:pStyle w:val="BodyText"/>
        <w:spacing w:before="0"/>
        <w:ind w:left="100"/>
        <w:jc w:val="center"/>
        <w:rPr>
          <w:b/>
          <w:bCs/>
          <w:sz w:val="24"/>
          <w:szCs w:val="24"/>
        </w:rPr>
      </w:pPr>
      <w:r w:rsidRPr="005F460A">
        <w:rPr>
          <w:b/>
          <w:bCs/>
          <w:sz w:val="24"/>
          <w:szCs w:val="24"/>
        </w:rPr>
        <w:t xml:space="preserve">Attachment </w:t>
      </w:r>
      <w:r w:rsidR="00AB09FB">
        <w:rPr>
          <w:b/>
          <w:bCs/>
          <w:sz w:val="24"/>
          <w:szCs w:val="24"/>
        </w:rPr>
        <w:t>3</w:t>
      </w:r>
    </w:p>
    <w:p w14:paraId="783B5435" w14:textId="62389DF4" w:rsidR="005F460A" w:rsidRPr="005F460A" w:rsidRDefault="005F460A" w:rsidP="005F460A">
      <w:pPr>
        <w:pStyle w:val="BodyText"/>
        <w:spacing w:before="0"/>
        <w:ind w:left="0"/>
        <w:jc w:val="center"/>
        <w:rPr>
          <w:b/>
          <w:bCs/>
          <w:sz w:val="24"/>
          <w:szCs w:val="24"/>
        </w:rPr>
      </w:pPr>
      <w:r w:rsidRPr="005F460A">
        <w:rPr>
          <w:b/>
          <w:bCs/>
          <w:sz w:val="24"/>
          <w:szCs w:val="24"/>
        </w:rPr>
        <w:t>Health Equity Definitions and Examples</w:t>
      </w:r>
    </w:p>
    <w:p w14:paraId="4768C616" w14:textId="77777777" w:rsidR="006F300A" w:rsidRDefault="006F300A">
      <w:pPr>
        <w:pStyle w:val="BodyText"/>
        <w:spacing w:before="8"/>
        <w:ind w:left="0"/>
        <w:rPr>
          <w:rFonts w:ascii="Times New Roman"/>
          <w:sz w:val="9"/>
        </w:rPr>
      </w:pPr>
    </w:p>
    <w:p w14:paraId="19840F30" w14:textId="77777777" w:rsidR="006F300A" w:rsidRDefault="00FB7031">
      <w:pPr>
        <w:spacing w:before="120" w:line="208" w:lineRule="auto"/>
        <w:ind w:left="136" w:right="221"/>
      </w:pPr>
      <w:r>
        <w:rPr>
          <w:b/>
        </w:rPr>
        <w:t>SOCIAL</w:t>
      </w:r>
      <w:r>
        <w:rPr>
          <w:b/>
          <w:spacing w:val="-10"/>
        </w:rPr>
        <w:t xml:space="preserve"> </w:t>
      </w:r>
      <w:r>
        <w:rPr>
          <w:b/>
        </w:rPr>
        <w:t>DETERMINANTS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HEALTH</w:t>
      </w:r>
      <w:r>
        <w:rPr>
          <w:b/>
          <w:spacing w:val="-5"/>
        </w:rPr>
        <w:t xml:space="preserve"> </w:t>
      </w:r>
      <w:r>
        <w:rPr>
          <w:b/>
        </w:rPr>
        <w:t>(SDOH):</w:t>
      </w:r>
      <w:r>
        <w:rPr>
          <w:b/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determinants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(SDOH)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overarching</w:t>
      </w:r>
      <w:r>
        <w:rPr>
          <w:spacing w:val="-59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society that impact</w:t>
      </w:r>
      <w:r>
        <w:rPr>
          <w:spacing w:val="-2"/>
        </w:rPr>
        <w:t xml:space="preserve"> </w:t>
      </w:r>
      <w:r>
        <w:t>health.</w:t>
      </w:r>
      <w:r>
        <w:rPr>
          <w:spacing w:val="-1"/>
        </w:rPr>
        <w:t xml:space="preserve"> </w:t>
      </w:r>
      <w:r>
        <w:t>SDOH include:</w:t>
      </w:r>
    </w:p>
    <w:p w14:paraId="7A476C11" w14:textId="77777777" w:rsidR="006F300A" w:rsidRDefault="00FB7031">
      <w:pPr>
        <w:pStyle w:val="ListParagraph"/>
        <w:numPr>
          <w:ilvl w:val="0"/>
          <w:numId w:val="2"/>
        </w:numPr>
        <w:tabs>
          <w:tab w:val="left" w:pos="266"/>
        </w:tabs>
        <w:spacing w:before="46"/>
      </w:pPr>
      <w:r>
        <w:t>Secure</w:t>
      </w:r>
      <w:r>
        <w:rPr>
          <w:spacing w:val="-4"/>
        </w:rPr>
        <w:t xml:space="preserve"> </w:t>
      </w:r>
      <w:r>
        <w:t>employment,</w:t>
      </w:r>
      <w:r>
        <w:rPr>
          <w:spacing w:val="-5"/>
        </w:rPr>
        <w:t xml:space="preserve"> </w:t>
      </w:r>
      <w:r>
        <w:t>safe,</w:t>
      </w:r>
      <w:r>
        <w:rPr>
          <w:spacing w:val="-3"/>
        </w:rPr>
        <w:t xml:space="preserve"> </w:t>
      </w:r>
      <w:r>
        <w:t>bias-free</w:t>
      </w:r>
      <w:r>
        <w:rPr>
          <w:spacing w:val="-5"/>
        </w:rPr>
        <w:t xml:space="preserve"> </w:t>
      </w:r>
      <w:r>
        <w:t>working</w:t>
      </w:r>
      <w:r>
        <w:rPr>
          <w:spacing w:val="-4"/>
        </w:rPr>
        <w:t xml:space="preserve"> </w:t>
      </w:r>
      <w:proofErr w:type="gramStart"/>
      <w:r>
        <w:t>conditions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equitable</w:t>
      </w:r>
      <w:r>
        <w:rPr>
          <w:spacing w:val="-5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t>wages;</w:t>
      </w:r>
    </w:p>
    <w:p w14:paraId="2109BAE5" w14:textId="77777777" w:rsidR="006F300A" w:rsidRDefault="00FB7031">
      <w:pPr>
        <w:pStyle w:val="ListParagraph"/>
        <w:numPr>
          <w:ilvl w:val="0"/>
          <w:numId w:val="2"/>
        </w:numPr>
        <w:tabs>
          <w:tab w:val="left" w:pos="266"/>
        </w:tabs>
      </w:pPr>
      <w:r>
        <w:t>Healthy</w:t>
      </w:r>
      <w:r>
        <w:rPr>
          <w:spacing w:val="-5"/>
        </w:rPr>
        <w:t xml:space="preserve"> </w:t>
      </w:r>
      <w:r>
        <w:t>environment,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clean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air;</w:t>
      </w:r>
    </w:p>
    <w:p w14:paraId="0D539A44" w14:textId="77777777" w:rsidR="006F300A" w:rsidRDefault="00FB7031">
      <w:pPr>
        <w:pStyle w:val="ListParagraph"/>
        <w:numPr>
          <w:ilvl w:val="0"/>
          <w:numId w:val="2"/>
        </w:numPr>
        <w:tabs>
          <w:tab w:val="left" w:pos="266"/>
        </w:tabs>
      </w:pPr>
      <w:r>
        <w:t>Safe</w:t>
      </w:r>
      <w:r>
        <w:rPr>
          <w:spacing w:val="-4"/>
        </w:rPr>
        <w:t xml:space="preserve"> </w:t>
      </w:r>
      <w:r>
        <w:t>neighborhoods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housing;</w:t>
      </w:r>
    </w:p>
    <w:p w14:paraId="5B51E995" w14:textId="77777777" w:rsidR="006F300A" w:rsidRDefault="00FB7031">
      <w:pPr>
        <w:pStyle w:val="ListParagraph"/>
        <w:numPr>
          <w:ilvl w:val="0"/>
          <w:numId w:val="2"/>
        </w:numPr>
        <w:tabs>
          <w:tab w:val="left" w:pos="266"/>
        </w:tabs>
        <w:spacing w:before="42"/>
      </w:pPr>
      <w:r>
        <w:t>Food</w:t>
      </w:r>
      <w:r>
        <w:rPr>
          <w:spacing w:val="-2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food;</w:t>
      </w:r>
    </w:p>
    <w:p w14:paraId="707AF2E2" w14:textId="77777777" w:rsidR="006F300A" w:rsidRDefault="00FB7031">
      <w:pPr>
        <w:pStyle w:val="ListParagraph"/>
        <w:numPr>
          <w:ilvl w:val="0"/>
          <w:numId w:val="2"/>
        </w:numPr>
        <w:tabs>
          <w:tab w:val="left" w:pos="266"/>
        </w:tabs>
      </w:pP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comprehensive,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services;</w:t>
      </w:r>
    </w:p>
    <w:p w14:paraId="37C4CEAC" w14:textId="77777777" w:rsidR="006F300A" w:rsidRDefault="00FB7031">
      <w:pPr>
        <w:pStyle w:val="ListParagraph"/>
        <w:numPr>
          <w:ilvl w:val="0"/>
          <w:numId w:val="2"/>
        </w:numPr>
        <w:tabs>
          <w:tab w:val="left" w:pos="266"/>
        </w:tabs>
      </w:pPr>
      <w:r>
        <w:t>Access to transportation;</w:t>
      </w:r>
    </w:p>
    <w:p w14:paraId="14397F05" w14:textId="2C5788F4" w:rsidR="006F300A" w:rsidRDefault="00FB7031">
      <w:pPr>
        <w:pStyle w:val="ListParagraph"/>
        <w:numPr>
          <w:ilvl w:val="0"/>
          <w:numId w:val="2"/>
        </w:numPr>
        <w:tabs>
          <w:tab w:val="left" w:pos="266"/>
        </w:tabs>
      </w:pPr>
      <w:r>
        <w:t>Quality</w:t>
      </w:r>
      <w:r>
        <w:rPr>
          <w:spacing w:val="-3"/>
        </w:rPr>
        <w:t xml:space="preserve"> </w:t>
      </w:r>
      <w:r>
        <w:t>education; and</w:t>
      </w:r>
    </w:p>
    <w:p w14:paraId="7CCA90D2" w14:textId="77777777" w:rsidR="006F300A" w:rsidRDefault="00FB7031">
      <w:pPr>
        <w:pStyle w:val="ListParagraph"/>
        <w:numPr>
          <w:ilvl w:val="0"/>
          <w:numId w:val="2"/>
        </w:numPr>
        <w:tabs>
          <w:tab w:val="left" w:pos="266"/>
        </w:tabs>
        <w:spacing w:before="75"/>
      </w:pP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network.</w:t>
      </w:r>
    </w:p>
    <w:p w14:paraId="0222B65D" w14:textId="77777777" w:rsidR="006F300A" w:rsidRDefault="00FB7031">
      <w:pPr>
        <w:pStyle w:val="BodyText"/>
        <w:spacing w:before="163" w:line="208" w:lineRule="auto"/>
        <w:ind w:left="136" w:right="221"/>
      </w:pPr>
      <w:r>
        <w:t>Inequities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SDOH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structural</w:t>
      </w:r>
      <w:r>
        <w:rPr>
          <w:spacing w:val="-3"/>
        </w:rPr>
        <w:t xml:space="preserve"> </w:t>
      </w:r>
      <w:r>
        <w:t>racism,</w:t>
      </w:r>
      <w:r>
        <w:rPr>
          <w:spacing w:val="-3"/>
        </w:rPr>
        <w:t xml:space="preserve"> </w:t>
      </w:r>
      <w:r>
        <w:t>sexism,</w:t>
      </w:r>
      <w:r>
        <w:rPr>
          <w:spacing w:val="-3"/>
        </w:rPr>
        <w:t xml:space="preserve"> </w:t>
      </w:r>
      <w:r>
        <w:t>homophobia,</w:t>
      </w:r>
      <w:r>
        <w:rPr>
          <w:spacing w:val="-4"/>
        </w:rPr>
        <w:t xml:space="preserve"> </w:t>
      </w:r>
      <w:r>
        <w:t>transphobia,</w:t>
      </w:r>
      <w:r>
        <w:rPr>
          <w:spacing w:val="-3"/>
        </w:rPr>
        <w:t xml:space="preserve"> </w:t>
      </w:r>
      <w:r>
        <w:t>poverty,</w:t>
      </w:r>
      <w:r>
        <w:rPr>
          <w:spacing w:val="-58"/>
        </w:rPr>
        <w:t xml:space="preserve"> </w:t>
      </w:r>
      <w:r>
        <w:t>stigma,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oppression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perpetuated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institutions.</w:t>
      </w:r>
    </w:p>
    <w:p w14:paraId="08BABAD2" w14:textId="2CEA1A0C" w:rsidR="006F300A" w:rsidRDefault="00FB7031">
      <w:pPr>
        <w:pStyle w:val="BodyText"/>
        <w:spacing w:before="120" w:line="208" w:lineRule="auto"/>
        <w:ind w:left="136" w:right="221"/>
      </w:pPr>
      <w:r>
        <w:rPr>
          <w:b/>
        </w:rPr>
        <w:t xml:space="preserve">STRUCTURAL RACISM: </w:t>
      </w:r>
      <w:r>
        <w:t>The combination of public policies, institutional practices, social and</w:t>
      </w:r>
      <w:r>
        <w:rPr>
          <w:spacing w:val="1"/>
        </w:rPr>
        <w:t xml:space="preserve"> </w:t>
      </w:r>
      <w:r>
        <w:t>economic</w:t>
      </w:r>
      <w:r>
        <w:rPr>
          <w:spacing w:val="-59"/>
        </w:rPr>
        <w:t xml:space="preserve"> </w:t>
      </w:r>
      <w:r>
        <w:t xml:space="preserve">forces that systematically privilege </w:t>
      </w:r>
      <w:r w:rsidR="00715557">
        <w:t>W</w:t>
      </w:r>
      <w:r>
        <w:t>hite people and disadvantage Black, Indigenous and other people of</w:t>
      </w:r>
      <w:r>
        <w:rPr>
          <w:spacing w:val="-59"/>
        </w:rPr>
        <w:t xml:space="preserve"> </w:t>
      </w:r>
      <w:r>
        <w:t>color. This term underscores that current racial inequities within society are not the result of personal</w:t>
      </w:r>
      <w:r>
        <w:rPr>
          <w:spacing w:val="1"/>
        </w:rPr>
        <w:t xml:space="preserve"> </w:t>
      </w:r>
      <w:r>
        <w:t>prejudice held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individuals.</w:t>
      </w:r>
      <w:r>
        <w:rPr>
          <w:spacing w:val="-1"/>
        </w:rPr>
        <w:t xml:space="preserve"> </w:t>
      </w:r>
      <w:r>
        <w:t>Adapted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hyperlink r:id="rId5">
        <w:r>
          <w:rPr>
            <w:color w:val="3FBFBF"/>
          </w:rPr>
          <w:t>Aspen</w:t>
        </w:r>
        <w:r>
          <w:rPr>
            <w:color w:val="3FBFBF"/>
            <w:spacing w:val="-1"/>
          </w:rPr>
          <w:t xml:space="preserve"> </w:t>
        </w:r>
        <w:r>
          <w:rPr>
            <w:color w:val="3FBFBF"/>
          </w:rPr>
          <w:t>Institute</w:t>
        </w:r>
        <w:r>
          <w:rPr>
            <w:color w:val="3FBFBF"/>
            <w:spacing w:val="-1"/>
          </w:rPr>
          <w:t xml:space="preserve"> </w:t>
        </w:r>
      </w:hyperlink>
      <w:r>
        <w:t>and</w:t>
      </w:r>
      <w:r>
        <w:rPr>
          <w:spacing w:val="-1"/>
        </w:rPr>
        <w:t xml:space="preserve"> </w:t>
      </w:r>
      <w:hyperlink r:id="rId6">
        <w:r>
          <w:rPr>
            <w:color w:val="3FBFBF"/>
          </w:rPr>
          <w:t>Bailey</w:t>
        </w:r>
        <w:r>
          <w:t>,</w:t>
        </w:r>
        <w:r>
          <w:rPr>
            <w:spacing w:val="-1"/>
          </w:rPr>
          <w:t xml:space="preserve"> </w:t>
        </w:r>
        <w:r>
          <w:rPr>
            <w:color w:val="3FBFBF"/>
          </w:rPr>
          <w:t>Feldman</w:t>
        </w:r>
        <w:r>
          <w:t xml:space="preserve">, </w:t>
        </w:r>
        <w:r>
          <w:rPr>
            <w:color w:val="3FBFBF"/>
          </w:rPr>
          <w:t>Bassett</w:t>
        </w:r>
        <w:r>
          <w:t>.</w:t>
        </w:r>
      </w:hyperlink>
    </w:p>
    <w:p w14:paraId="7E9DC422" w14:textId="67DF0DAC" w:rsidR="006F300A" w:rsidRDefault="00FB7031">
      <w:pPr>
        <w:pStyle w:val="BodyText"/>
        <w:spacing w:before="120" w:line="208" w:lineRule="auto"/>
        <w:ind w:left="136" w:right="216"/>
      </w:pPr>
      <w:r>
        <w:rPr>
          <w:b/>
        </w:rPr>
        <w:t xml:space="preserve">HEALTH DISPARITIES: </w:t>
      </w:r>
      <w:r>
        <w:t>The statistical difference in the incidence, prevalence, mortality, and burden of</w:t>
      </w:r>
      <w:r>
        <w:rPr>
          <w:spacing w:val="1"/>
        </w:rPr>
        <w:t xml:space="preserve"> </w:t>
      </w:r>
      <w:r>
        <w:t>disease and other adverse health conditions that exist among specific population groups in the United States.</w:t>
      </w:r>
      <w:r>
        <w:rPr>
          <w:spacing w:val="-59"/>
        </w:rPr>
        <w:t xml:space="preserve"> </w:t>
      </w:r>
      <w:hyperlink r:id="rId7">
        <w:r>
          <w:rPr>
            <w:color w:val="3FBFBF"/>
          </w:rPr>
          <w:t>USDHHS</w:t>
        </w:r>
      </w:hyperlink>
      <w:r w:rsidR="00715557">
        <w:rPr>
          <w:color w:val="3FBFBF"/>
        </w:rPr>
        <w:t>.</w:t>
      </w:r>
    </w:p>
    <w:p w14:paraId="057A45E1" w14:textId="77777777" w:rsidR="006F300A" w:rsidRDefault="00FB7031">
      <w:pPr>
        <w:pStyle w:val="BodyText"/>
        <w:spacing w:before="93"/>
        <w:ind w:left="136"/>
      </w:pPr>
      <w:r>
        <w:rPr>
          <w:b/>
        </w:rPr>
        <w:t>HEALTH</w:t>
      </w:r>
      <w:r>
        <w:rPr>
          <w:b/>
          <w:spacing w:val="-3"/>
        </w:rPr>
        <w:t xml:space="preserve"> </w:t>
      </w:r>
      <w:r>
        <w:rPr>
          <w:b/>
        </w:rPr>
        <w:t>INEQUITIES:</w:t>
      </w:r>
      <w:r>
        <w:rPr>
          <w:b/>
          <w:spacing w:val="-3"/>
        </w:rPr>
        <w:t xml:space="preserve"> </w:t>
      </w:r>
      <w:r>
        <w:t>Disparities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unfair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unjust.</w:t>
      </w:r>
    </w:p>
    <w:p w14:paraId="3ED784E8" w14:textId="77777777" w:rsidR="006F300A" w:rsidRDefault="00FB7031">
      <w:pPr>
        <w:pStyle w:val="BodyText"/>
        <w:spacing w:before="111" w:line="216" w:lineRule="auto"/>
        <w:ind w:left="136" w:right="192"/>
      </w:pPr>
      <w:r>
        <w:rPr>
          <w:b/>
        </w:rPr>
        <w:t xml:space="preserve">HEALTH EQUITY: </w:t>
      </w:r>
      <w:r>
        <w:t>Health equity is achieved when no one is limited in achieving good health because of their</w:t>
      </w:r>
      <w:r>
        <w:rPr>
          <w:spacing w:val="-59"/>
        </w:rPr>
        <w:t xml:space="preserve"> </w:t>
      </w:r>
      <w:r>
        <w:t>social position or any other social determinant of health. The goal of health equity is to eliminate health</w:t>
      </w:r>
      <w:r>
        <w:rPr>
          <w:spacing w:val="1"/>
        </w:rPr>
        <w:t xml:space="preserve"> </w:t>
      </w:r>
      <w:r>
        <w:t>inequities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avoidable and</w:t>
      </w:r>
      <w:r>
        <w:rPr>
          <w:spacing w:val="-1"/>
        </w:rPr>
        <w:t xml:space="preserve"> </w:t>
      </w:r>
      <w:r>
        <w:t>unjust through</w:t>
      </w:r>
      <w:r>
        <w:rPr>
          <w:spacing w:val="-1"/>
        </w:rPr>
        <w:t xml:space="preserve"> </w:t>
      </w:r>
      <w:r>
        <w:t>proactive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inclusive processes.</w:t>
      </w:r>
    </w:p>
    <w:p w14:paraId="6D128CA6" w14:textId="77777777" w:rsidR="006F300A" w:rsidRDefault="006F300A">
      <w:pPr>
        <w:pStyle w:val="BodyText"/>
        <w:spacing w:before="1"/>
        <w:ind w:left="0"/>
        <w:rPr>
          <w:sz w:val="30"/>
        </w:rPr>
      </w:pPr>
    </w:p>
    <w:p w14:paraId="7BAAAA5F" w14:textId="77777777" w:rsidR="006F300A" w:rsidRDefault="00FB7031">
      <w:pPr>
        <w:pStyle w:val="BodyText"/>
        <w:spacing w:before="0" w:line="208" w:lineRule="auto"/>
        <w:ind w:left="136" w:right="913" w:firstLine="1"/>
      </w:pPr>
      <w:r>
        <w:t>Examples of how social and structural determinants can impact our health include: (note: this is not an</w:t>
      </w:r>
      <w:r>
        <w:rPr>
          <w:spacing w:val="-59"/>
        </w:rPr>
        <w:t xml:space="preserve"> </w:t>
      </w:r>
      <w:r>
        <w:t>exhaustive list)</w:t>
      </w:r>
    </w:p>
    <w:p w14:paraId="5D56F845" w14:textId="77777777" w:rsidR="006F300A" w:rsidRDefault="00FB7031">
      <w:pPr>
        <w:pStyle w:val="ListParagraph"/>
        <w:numPr>
          <w:ilvl w:val="0"/>
          <w:numId w:val="1"/>
        </w:numPr>
        <w:tabs>
          <w:tab w:val="left" w:pos="411"/>
        </w:tabs>
        <w:spacing w:before="75" w:line="208" w:lineRule="auto"/>
        <w:ind w:right="127"/>
      </w:pPr>
      <w:r>
        <w:t>Stigma and discrimination are pervasive within healthcare and social support service delivery systems and</w:t>
      </w:r>
      <w:r>
        <w:rPr>
          <w:spacing w:val="1"/>
        </w:rPr>
        <w:t xml:space="preserve"> </w:t>
      </w:r>
      <w:r>
        <w:t>exacerbate health inequities.</w:t>
      </w:r>
      <w:r>
        <w:rPr>
          <w:spacing w:val="1"/>
        </w:rPr>
        <w:t xml:space="preserve"> </w:t>
      </w:r>
      <w:r>
        <w:t>Explicit and implicit biases persist among health and social service providers</w:t>
      </w:r>
      <w:r>
        <w:rPr>
          <w:spacing w:val="1"/>
        </w:rPr>
        <w:t xml:space="preserve"> </w:t>
      </w:r>
      <w:r>
        <w:t>related to HIV status, race/ethnicity, sexual orientation, gender identity and expression, age, mental health,</w:t>
      </w:r>
      <w:r>
        <w:rPr>
          <w:spacing w:val="1"/>
        </w:rPr>
        <w:t xml:space="preserve"> </w:t>
      </w:r>
      <w:r>
        <w:t>socioeconomic</w:t>
      </w:r>
      <w:r>
        <w:rPr>
          <w:spacing w:val="5"/>
        </w:rPr>
        <w:t xml:space="preserve"> </w:t>
      </w:r>
      <w:r>
        <w:t>status,</w:t>
      </w:r>
      <w:r>
        <w:rPr>
          <w:spacing w:val="5"/>
        </w:rPr>
        <w:t xml:space="preserve"> </w:t>
      </w:r>
      <w:r>
        <w:t>immigration</w:t>
      </w:r>
      <w:r>
        <w:rPr>
          <w:spacing w:val="6"/>
        </w:rPr>
        <w:t xml:space="preserve"> </w:t>
      </w:r>
      <w:r>
        <w:t>status,</w:t>
      </w:r>
      <w:r>
        <w:rPr>
          <w:spacing w:val="4"/>
        </w:rPr>
        <w:t xml:space="preserve"> </w:t>
      </w:r>
      <w:r>
        <w:t>substance</w:t>
      </w:r>
      <w:r>
        <w:rPr>
          <w:spacing w:val="5"/>
        </w:rPr>
        <w:t xml:space="preserve"> </w:t>
      </w:r>
      <w:r>
        <w:t>use,</w:t>
      </w:r>
      <w:r>
        <w:rPr>
          <w:spacing w:val="5"/>
        </w:rPr>
        <w:t xml:space="preserve"> </w:t>
      </w:r>
      <w:r>
        <w:t>criminal</w:t>
      </w:r>
      <w:r>
        <w:rPr>
          <w:spacing w:val="5"/>
        </w:rPr>
        <w:t xml:space="preserve"> </w:t>
      </w:r>
      <w:r>
        <w:t>justice</w:t>
      </w:r>
      <w:r>
        <w:rPr>
          <w:spacing w:val="6"/>
        </w:rPr>
        <w:t xml:space="preserve"> </w:t>
      </w:r>
      <w:r>
        <w:t>involvement,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of sex for money, drugs, housing, or other resources; these result in stigma and discrimination in healthcare</w:t>
      </w:r>
      <w:r>
        <w:rPr>
          <w:spacing w:val="-5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demonstrated</w:t>
      </w:r>
      <w:r>
        <w:rPr>
          <w:spacing w:val="-2"/>
        </w:rPr>
        <w:t xml:space="preserve"> </w:t>
      </w:r>
      <w:r>
        <w:t>barriers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uptake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sustained</w:t>
      </w:r>
      <w:r>
        <w:rPr>
          <w:spacing w:val="-3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HIV</w:t>
      </w:r>
      <w:r>
        <w:rPr>
          <w:spacing w:val="-3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services.</w:t>
      </w:r>
    </w:p>
    <w:p w14:paraId="6C7F4F59" w14:textId="77777777" w:rsidR="006F300A" w:rsidRDefault="00FB7031">
      <w:pPr>
        <w:pStyle w:val="ListParagraph"/>
        <w:numPr>
          <w:ilvl w:val="0"/>
          <w:numId w:val="1"/>
        </w:numPr>
        <w:tabs>
          <w:tab w:val="left" w:pos="411"/>
        </w:tabs>
        <w:spacing w:before="119" w:line="208" w:lineRule="auto"/>
        <w:ind w:right="198"/>
      </w:pPr>
      <w:r>
        <w:t>Other overlapping social and structural determinants of heath further exacerbate health inequities including</w:t>
      </w:r>
      <w:r>
        <w:rPr>
          <w:spacing w:val="-59"/>
        </w:rPr>
        <w:t xml:space="preserve"> </w:t>
      </w:r>
      <w:r>
        <w:t>housing status, food insecurity, poverty, unemployment, neighborhood conditions, mental health issues,</w:t>
      </w:r>
      <w:r>
        <w:rPr>
          <w:spacing w:val="1"/>
        </w:rPr>
        <w:t xml:space="preserve"> </w:t>
      </w:r>
      <w:r>
        <w:t>domestic violence, sexism, homophobia, transphobia, ableism, agism, racism, and other complex and</w:t>
      </w:r>
      <w:r>
        <w:rPr>
          <w:spacing w:val="1"/>
        </w:rPr>
        <w:t xml:space="preserve"> </w:t>
      </w:r>
      <w:r>
        <w:t>integrated systems of oppression. These social and structural determinants of health are barriers to</w:t>
      </w:r>
      <w:r>
        <w:rPr>
          <w:spacing w:val="1"/>
        </w:rPr>
        <w:t xml:space="preserve"> </w:t>
      </w:r>
      <w:r>
        <w:t>achieving positive health</w:t>
      </w:r>
      <w:r>
        <w:rPr>
          <w:spacing w:val="1"/>
        </w:rPr>
        <w:t xml:space="preserve"> </w:t>
      </w:r>
      <w:r>
        <w:t>outcomes.</w:t>
      </w:r>
    </w:p>
    <w:p w14:paraId="6B13F2D4" w14:textId="77777777" w:rsidR="006F300A" w:rsidRDefault="00FB7031">
      <w:pPr>
        <w:pStyle w:val="ListParagraph"/>
        <w:numPr>
          <w:ilvl w:val="0"/>
          <w:numId w:val="1"/>
        </w:numPr>
        <w:tabs>
          <w:tab w:val="left" w:pos="411"/>
        </w:tabs>
        <w:spacing w:before="120" w:line="208" w:lineRule="auto"/>
        <w:ind w:right="281"/>
      </w:pPr>
      <w:r>
        <w:t>Culturally and linguistically appropriate services are one way to improve the quality of services provided to</w:t>
      </w:r>
      <w:r>
        <w:rPr>
          <w:spacing w:val="-59"/>
        </w:rPr>
        <w:t xml:space="preserve"> </w:t>
      </w:r>
      <w:r>
        <w:t>all individuals, which will ultimately help reduce disparities and inequities and achieve health equity. The</w:t>
      </w:r>
      <w:r>
        <w:rPr>
          <w:spacing w:val="1"/>
        </w:rPr>
        <w:t xml:space="preserve"> </w:t>
      </w:r>
      <w:r>
        <w:t>provision of services that are responsive to the individuals first or preferred language, health beliefs,</w:t>
      </w:r>
      <w:r>
        <w:rPr>
          <w:spacing w:val="1"/>
        </w:rPr>
        <w:t xml:space="preserve"> </w:t>
      </w:r>
      <w:r>
        <w:t>practices and needs of diverse populations, individuals and clients can help close the gaps in health</w:t>
      </w:r>
      <w:r>
        <w:rPr>
          <w:spacing w:val="1"/>
        </w:rPr>
        <w:t xml:space="preserve"> </w:t>
      </w:r>
      <w:r>
        <w:t>outcomes.</w:t>
      </w:r>
      <w:r>
        <w:rPr>
          <w:spacing w:val="-2"/>
        </w:rPr>
        <w:t xml:space="preserve"> </w:t>
      </w:r>
      <w:hyperlink r:id="rId8">
        <w:r>
          <w:rPr>
            <w:color w:val="3FBFBF"/>
          </w:rPr>
          <w:t>What is CLAS?</w:t>
        </w:r>
        <w:r>
          <w:rPr>
            <w:color w:val="3FBFBF"/>
            <w:spacing w:val="-1"/>
          </w:rPr>
          <w:t xml:space="preserve"> </w:t>
        </w:r>
        <w:r>
          <w:rPr>
            <w:color w:val="3FBFBF"/>
          </w:rPr>
          <w:t>- Think Cultural</w:t>
        </w:r>
        <w:r>
          <w:rPr>
            <w:color w:val="3FBFBF"/>
            <w:spacing w:val="1"/>
          </w:rPr>
          <w:t xml:space="preserve"> </w:t>
        </w:r>
        <w:r>
          <w:rPr>
            <w:color w:val="3FBFBF"/>
          </w:rPr>
          <w:t>Health</w:t>
        </w:r>
      </w:hyperlink>
    </w:p>
    <w:p w14:paraId="7757A5A0" w14:textId="311073B5" w:rsidR="006F300A" w:rsidRDefault="006F300A">
      <w:pPr>
        <w:pStyle w:val="BodyText"/>
        <w:spacing w:before="10"/>
        <w:ind w:left="0"/>
        <w:rPr>
          <w:sz w:val="9"/>
        </w:rPr>
      </w:pPr>
    </w:p>
    <w:sectPr w:rsidR="006F300A">
      <w:type w:val="continuous"/>
      <w:pgSz w:w="12240" w:h="15840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147AB"/>
    <w:multiLevelType w:val="hybridMultilevel"/>
    <w:tmpl w:val="613E0FB8"/>
    <w:lvl w:ilvl="0" w:tplc="4F20D524">
      <w:numFmt w:val="bullet"/>
      <w:lvlText w:val=""/>
      <w:lvlJc w:val="left"/>
      <w:pPr>
        <w:ind w:left="410" w:hanging="26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77A71FC">
      <w:numFmt w:val="bullet"/>
      <w:lvlText w:val="•"/>
      <w:lvlJc w:val="left"/>
      <w:pPr>
        <w:ind w:left="1478" w:hanging="264"/>
      </w:pPr>
      <w:rPr>
        <w:rFonts w:hint="default"/>
        <w:lang w:val="en-US" w:eastAsia="en-US" w:bidi="ar-SA"/>
      </w:rPr>
    </w:lvl>
    <w:lvl w:ilvl="2" w:tplc="54768DC0">
      <w:numFmt w:val="bullet"/>
      <w:lvlText w:val="•"/>
      <w:lvlJc w:val="left"/>
      <w:pPr>
        <w:ind w:left="2536" w:hanging="264"/>
      </w:pPr>
      <w:rPr>
        <w:rFonts w:hint="default"/>
        <w:lang w:val="en-US" w:eastAsia="en-US" w:bidi="ar-SA"/>
      </w:rPr>
    </w:lvl>
    <w:lvl w:ilvl="3" w:tplc="81564F0C">
      <w:numFmt w:val="bullet"/>
      <w:lvlText w:val="•"/>
      <w:lvlJc w:val="left"/>
      <w:pPr>
        <w:ind w:left="3594" w:hanging="264"/>
      </w:pPr>
      <w:rPr>
        <w:rFonts w:hint="default"/>
        <w:lang w:val="en-US" w:eastAsia="en-US" w:bidi="ar-SA"/>
      </w:rPr>
    </w:lvl>
    <w:lvl w:ilvl="4" w:tplc="020AB7CA">
      <w:numFmt w:val="bullet"/>
      <w:lvlText w:val="•"/>
      <w:lvlJc w:val="left"/>
      <w:pPr>
        <w:ind w:left="4652" w:hanging="264"/>
      </w:pPr>
      <w:rPr>
        <w:rFonts w:hint="default"/>
        <w:lang w:val="en-US" w:eastAsia="en-US" w:bidi="ar-SA"/>
      </w:rPr>
    </w:lvl>
    <w:lvl w:ilvl="5" w:tplc="62B66890">
      <w:numFmt w:val="bullet"/>
      <w:lvlText w:val="•"/>
      <w:lvlJc w:val="left"/>
      <w:pPr>
        <w:ind w:left="5710" w:hanging="264"/>
      </w:pPr>
      <w:rPr>
        <w:rFonts w:hint="default"/>
        <w:lang w:val="en-US" w:eastAsia="en-US" w:bidi="ar-SA"/>
      </w:rPr>
    </w:lvl>
    <w:lvl w:ilvl="6" w:tplc="DC9A9BF2">
      <w:numFmt w:val="bullet"/>
      <w:lvlText w:val="•"/>
      <w:lvlJc w:val="left"/>
      <w:pPr>
        <w:ind w:left="6768" w:hanging="264"/>
      </w:pPr>
      <w:rPr>
        <w:rFonts w:hint="default"/>
        <w:lang w:val="en-US" w:eastAsia="en-US" w:bidi="ar-SA"/>
      </w:rPr>
    </w:lvl>
    <w:lvl w:ilvl="7" w:tplc="04045710">
      <w:numFmt w:val="bullet"/>
      <w:lvlText w:val="•"/>
      <w:lvlJc w:val="left"/>
      <w:pPr>
        <w:ind w:left="7826" w:hanging="264"/>
      </w:pPr>
      <w:rPr>
        <w:rFonts w:hint="default"/>
        <w:lang w:val="en-US" w:eastAsia="en-US" w:bidi="ar-SA"/>
      </w:rPr>
    </w:lvl>
    <w:lvl w:ilvl="8" w:tplc="5A001910">
      <w:numFmt w:val="bullet"/>
      <w:lvlText w:val="•"/>
      <w:lvlJc w:val="left"/>
      <w:pPr>
        <w:ind w:left="8884" w:hanging="264"/>
      </w:pPr>
      <w:rPr>
        <w:rFonts w:hint="default"/>
        <w:lang w:val="en-US" w:eastAsia="en-US" w:bidi="ar-SA"/>
      </w:rPr>
    </w:lvl>
  </w:abstractNum>
  <w:abstractNum w:abstractNumId="1" w15:restartNumberingAfterBreak="0">
    <w:nsid w:val="7B385DCF"/>
    <w:multiLevelType w:val="hybridMultilevel"/>
    <w:tmpl w:val="4372D78A"/>
    <w:lvl w:ilvl="0" w:tplc="488ECCAC">
      <w:numFmt w:val="bullet"/>
      <w:lvlText w:val="•"/>
      <w:lvlJc w:val="left"/>
      <w:pPr>
        <w:ind w:left="265" w:hanging="139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7A047DF4">
      <w:numFmt w:val="bullet"/>
      <w:lvlText w:val="•"/>
      <w:lvlJc w:val="left"/>
      <w:pPr>
        <w:ind w:left="1334" w:hanging="139"/>
      </w:pPr>
      <w:rPr>
        <w:rFonts w:hint="default"/>
        <w:lang w:val="en-US" w:eastAsia="en-US" w:bidi="ar-SA"/>
      </w:rPr>
    </w:lvl>
    <w:lvl w:ilvl="2" w:tplc="6AF00A2A">
      <w:numFmt w:val="bullet"/>
      <w:lvlText w:val="•"/>
      <w:lvlJc w:val="left"/>
      <w:pPr>
        <w:ind w:left="2408" w:hanging="139"/>
      </w:pPr>
      <w:rPr>
        <w:rFonts w:hint="default"/>
        <w:lang w:val="en-US" w:eastAsia="en-US" w:bidi="ar-SA"/>
      </w:rPr>
    </w:lvl>
    <w:lvl w:ilvl="3" w:tplc="4FA023A2">
      <w:numFmt w:val="bullet"/>
      <w:lvlText w:val="•"/>
      <w:lvlJc w:val="left"/>
      <w:pPr>
        <w:ind w:left="3482" w:hanging="139"/>
      </w:pPr>
      <w:rPr>
        <w:rFonts w:hint="default"/>
        <w:lang w:val="en-US" w:eastAsia="en-US" w:bidi="ar-SA"/>
      </w:rPr>
    </w:lvl>
    <w:lvl w:ilvl="4" w:tplc="4AEEFB5E">
      <w:numFmt w:val="bullet"/>
      <w:lvlText w:val="•"/>
      <w:lvlJc w:val="left"/>
      <w:pPr>
        <w:ind w:left="4556" w:hanging="139"/>
      </w:pPr>
      <w:rPr>
        <w:rFonts w:hint="default"/>
        <w:lang w:val="en-US" w:eastAsia="en-US" w:bidi="ar-SA"/>
      </w:rPr>
    </w:lvl>
    <w:lvl w:ilvl="5" w:tplc="F2BE1C86">
      <w:numFmt w:val="bullet"/>
      <w:lvlText w:val="•"/>
      <w:lvlJc w:val="left"/>
      <w:pPr>
        <w:ind w:left="5630" w:hanging="139"/>
      </w:pPr>
      <w:rPr>
        <w:rFonts w:hint="default"/>
        <w:lang w:val="en-US" w:eastAsia="en-US" w:bidi="ar-SA"/>
      </w:rPr>
    </w:lvl>
    <w:lvl w:ilvl="6" w:tplc="AB44CC2A">
      <w:numFmt w:val="bullet"/>
      <w:lvlText w:val="•"/>
      <w:lvlJc w:val="left"/>
      <w:pPr>
        <w:ind w:left="6704" w:hanging="139"/>
      </w:pPr>
      <w:rPr>
        <w:rFonts w:hint="default"/>
        <w:lang w:val="en-US" w:eastAsia="en-US" w:bidi="ar-SA"/>
      </w:rPr>
    </w:lvl>
    <w:lvl w:ilvl="7" w:tplc="00980C06">
      <w:numFmt w:val="bullet"/>
      <w:lvlText w:val="•"/>
      <w:lvlJc w:val="left"/>
      <w:pPr>
        <w:ind w:left="7778" w:hanging="139"/>
      </w:pPr>
      <w:rPr>
        <w:rFonts w:hint="default"/>
        <w:lang w:val="en-US" w:eastAsia="en-US" w:bidi="ar-SA"/>
      </w:rPr>
    </w:lvl>
    <w:lvl w:ilvl="8" w:tplc="C05AE930">
      <w:numFmt w:val="bullet"/>
      <w:lvlText w:val="•"/>
      <w:lvlJc w:val="left"/>
      <w:pPr>
        <w:ind w:left="8852" w:hanging="13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0A"/>
    <w:rsid w:val="00047BED"/>
    <w:rsid w:val="00095BEB"/>
    <w:rsid w:val="005F460A"/>
    <w:rsid w:val="006F300A"/>
    <w:rsid w:val="00715557"/>
    <w:rsid w:val="00AB09FB"/>
    <w:rsid w:val="00FB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2828"/>
  <w15:docId w15:val="{81E6170F-E1F8-40DB-B14E-FE75F69F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265"/>
    </w:pPr>
  </w:style>
  <w:style w:type="paragraph" w:styleId="Title">
    <w:name w:val="Title"/>
    <w:basedOn w:val="Normal"/>
    <w:uiPriority w:val="10"/>
    <w:qFormat/>
    <w:pPr>
      <w:spacing w:before="311"/>
      <w:ind w:left="2163" w:right="2160"/>
      <w:jc w:val="center"/>
    </w:pPr>
    <w:rPr>
      <w:rFonts w:ascii="Britannic Bold" w:eastAsia="Britannic Bold" w:hAnsi="Britannic Bold" w:cs="Britannic Bold"/>
      <w:sz w:val="68"/>
      <w:szCs w:val="68"/>
    </w:rPr>
  </w:style>
  <w:style w:type="paragraph" w:styleId="ListParagraph">
    <w:name w:val="List Paragraph"/>
    <w:basedOn w:val="Normal"/>
    <w:uiPriority w:val="1"/>
    <w:qFormat/>
    <w:pPr>
      <w:spacing w:before="43"/>
      <w:ind w:left="265" w:hanging="1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nkculturalhealth.hhs.gov/clas/what-is-cl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lbi.nih.gov/health/educational/healthdisp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jm.org/doi/full/10.1056/NEJMms2025396" TargetMode="External"/><Relationship Id="rId5" Type="http://schemas.openxmlformats.org/officeDocument/2006/relationships/hyperlink" Target="https://www.aspeninstitute.org/blog-posts/structural-racism-defini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Equity Competencies for Health Care Providers</dc:title>
  <dc:subject>Health Equity Competencies for Health Care Providers</dc:subject>
  <dc:creator>New York State Department of Health - AIDS Institute</dc:creator>
  <cp:keywords>ending the epidemic, end of aids, ete, eoa, health equity, disparities, racial inequities, doctors, nurses, health care providers</cp:keywords>
  <cp:lastModifiedBy>DiGuilio, Michele A (HEALTH)</cp:lastModifiedBy>
  <cp:revision>3</cp:revision>
  <dcterms:created xsi:type="dcterms:W3CDTF">2022-02-24T13:20:00Z</dcterms:created>
  <dcterms:modified xsi:type="dcterms:W3CDTF">2022-02-24T18:15:00Z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2021-11-26T00:00:00Z</vt:filetime>
  </property>
</Properties>
</file>