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6B5BAF8" wp14:paraId="6607EBE6" wp14:textId="2616D19A">
      <w:pPr>
        <w:pStyle w:val="Normal"/>
        <w:spacing w:before="0" w:beforeAutospacing="off" w:after="0" w:afterAutospacing="off"/>
        <w:rPr>
          <w:rFonts w:ascii="Oswald" w:hAnsi="Oswald" w:eastAsia="Oswald" w:cs="Oswald"/>
          <w:b w:val="1"/>
          <w:bCs w:val="1"/>
          <w:noProof w:val="0"/>
          <w:sz w:val="40"/>
          <w:szCs w:val="40"/>
          <w:lang w:val="en-US"/>
        </w:rPr>
      </w:pPr>
      <w:r w:rsidRPr="66B5BAF8" w:rsidR="518EB651">
        <w:rPr>
          <w:rFonts w:ascii="Calibri" w:hAnsi="Calibri" w:eastAsia="Calibri" w:cs="Calibri"/>
          <w:b w:val="1"/>
          <w:bCs w:val="1"/>
          <w:noProof w:val="0"/>
          <w:sz w:val="40"/>
          <w:szCs w:val="40"/>
          <w:lang w:val="en-US"/>
        </w:rPr>
        <w:t>Budget Instructions: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3F310026" wp14:textId="35BFC111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The project budget will be deliverable-based, and reimbursement will be contingent upon satisfactory completion of deliverables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Selected </w:t>
      </w:r>
      <w:r w:rsidRPr="66B5BAF8" w:rsidR="4279008A">
        <w:rPr>
          <w:rFonts w:ascii="Calibri" w:hAnsi="Calibri" w:eastAsia="Calibri" w:cs="Calibri"/>
          <w:noProof w:val="0"/>
          <w:sz w:val="22"/>
          <w:szCs w:val="22"/>
          <w:lang w:val="en-US"/>
        </w:rPr>
        <w:t>proposals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will be awarded up to $</w:t>
      </w:r>
      <w:r w:rsidRPr="66B5BAF8" w:rsidR="32AE4366">
        <w:rPr>
          <w:rFonts w:ascii="Calibri" w:hAnsi="Calibri" w:eastAsia="Calibri" w:cs="Calibri"/>
          <w:noProof w:val="0"/>
          <w:sz w:val="22"/>
          <w:szCs w:val="22"/>
          <w:lang w:val="en-US"/>
        </w:rPr>
        <w:t>50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,000.  </w:t>
      </w:r>
    </w:p>
    <w:p xmlns:wp14="http://schemas.microsoft.com/office/word/2010/wordml" w:rsidP="66B5BAF8" wp14:paraId="73E5C001" wp14:textId="2A469279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595E4B80" wp14:textId="3D57A0B8">
      <w:pPr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Cost substantiation for each deliverable listed in the tables below should consist of an estimate of personnel costs (combination of staff consultant rate and hours),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and/or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other than personnel services costs</w:t>
      </w:r>
      <w:r w:rsidRPr="66B5BAF8" w:rsidR="0923FDF7">
        <w:rPr>
          <w:rFonts w:ascii="Calibri" w:hAnsi="Calibri" w:eastAsia="Calibri" w:cs="Calibri"/>
          <w:noProof w:val="0"/>
          <w:sz w:val="22"/>
          <w:szCs w:val="22"/>
          <w:lang w:val="en-US"/>
        </w:rPr>
        <w:t>.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</w:t>
      </w:r>
    </w:p>
    <w:p xmlns:wp14="http://schemas.microsoft.com/office/word/2010/wordml" w:rsidP="66B5BAF8" wp14:paraId="4BBFADC3" wp14:textId="3507AF69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0C3ACCC5" wp14:textId="12591CA5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The applicant should complete the two budget tables (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1. Project Deliverable Expenses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and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2. Budget Breakdown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) following the instructions below: </w:t>
      </w:r>
    </w:p>
    <w:p xmlns:wp14="http://schemas.microsoft.com/office/word/2010/wordml" w:rsidP="66B5BAF8" wp14:paraId="238B5F76" wp14:textId="099288FB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74481156" wp14:textId="6BB87731">
      <w:pPr>
        <w:pStyle w:val="ListParagraph"/>
        <w:numPr>
          <w:ilvl w:val="0"/>
          <w:numId w:val="1"/>
        </w:numPr>
        <w:spacing w:before="0" w:beforeAutospacing="off" w:after="0" w:afterAutospacing="off"/>
        <w:ind w:left="360" w:right="0" w:hanging="360"/>
        <w:rPr>
          <w:rFonts w:ascii="Calibri" w:hAnsi="Calibri" w:eastAsia="Calibri" w:cs="Calibri"/>
          <w:noProof w:val="0"/>
          <w:color w:val="156082" w:themeColor="accent1" w:themeTint="FF" w:themeShade="FF"/>
          <w:sz w:val="28"/>
          <w:szCs w:val="28"/>
          <w:lang w:val="en-US"/>
        </w:rPr>
      </w:pPr>
      <w:r w:rsidRPr="66B5BAF8" w:rsidR="518EB651">
        <w:rPr>
          <w:rFonts w:ascii="Calibri" w:hAnsi="Calibri" w:eastAsia="Calibri" w:cs="Calibri"/>
          <w:noProof w:val="0"/>
          <w:color w:val="156082" w:themeColor="accent1" w:themeTint="FF" w:themeShade="FF"/>
          <w:sz w:val="28"/>
          <w:szCs w:val="28"/>
          <w:lang w:val="en-US"/>
        </w:rPr>
        <w:t xml:space="preserve">Project Deliverable Expense Tables: </w:t>
      </w:r>
    </w:p>
    <w:p xmlns:wp14="http://schemas.microsoft.com/office/word/2010/wordml" w:rsidP="66B5BAF8" wp14:paraId="569BB6DC" wp14:textId="6E9D3F9A">
      <w:pPr>
        <w:spacing w:before="0" w:beforeAutospacing="off" w:after="0" w:afterAutospacing="off"/>
        <w:ind w:left="360" w:right="0"/>
      </w:pPr>
      <w:r w:rsidRPr="66B5BAF8" w:rsidR="518EB651">
        <w:rPr>
          <w:rFonts w:ascii="Calibri" w:hAnsi="Calibri" w:eastAsia="Calibri" w:cs="Calibri"/>
          <w:noProof w:val="0"/>
          <w:color w:val="156082" w:themeColor="accent1" w:themeTint="FF" w:themeShade="FF"/>
          <w:sz w:val="12"/>
          <w:szCs w:val="12"/>
          <w:lang w:val="en-US"/>
        </w:rPr>
        <w:t xml:space="preserve"> </w:t>
      </w:r>
    </w:p>
    <w:p xmlns:wp14="http://schemas.microsoft.com/office/word/2010/wordml" w:rsidP="66B5BAF8" wp14:paraId="2631FF40" wp14:textId="0FAA08F3">
      <w:pPr>
        <w:pStyle w:val="ListParagraph"/>
        <w:numPr>
          <w:ilvl w:val="0"/>
          <w:numId w:val="2"/>
        </w:numPr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For each of the</w:t>
      </w:r>
      <w:r w:rsidRPr="66B5BAF8" w:rsidR="6D82A5E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deliverable tables below, </w:t>
      </w:r>
      <w:r w:rsidRPr="66B5BAF8" w:rsidR="4ACC1056">
        <w:rPr>
          <w:rFonts w:ascii="Calibri" w:hAnsi="Calibri" w:eastAsia="Calibri" w:cs="Calibri"/>
          <w:noProof w:val="0"/>
          <w:sz w:val="22"/>
          <w:szCs w:val="22"/>
          <w:lang w:val="en-US"/>
        </w:rPr>
        <w:t>proposers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should complete the following information:</w:t>
      </w:r>
    </w:p>
    <w:p xmlns:wp14="http://schemas.microsoft.com/office/word/2010/wordml" w:rsidP="66B5BAF8" wp14:paraId="612A70C7" wp14:textId="5553FDD5">
      <w:pPr>
        <w:spacing w:before="0" w:beforeAutospacing="off" w:after="0" w:afterAutospacing="off"/>
        <w:ind w:left="720" w:right="0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28A50B67" wp14:textId="64132AED">
      <w:pPr>
        <w:spacing w:before="0" w:beforeAutospacing="off" w:after="0" w:afterAutospacing="off"/>
        <w:ind w:left="720" w:right="0"/>
      </w:pP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Personnel Costs</w:t>
      </w:r>
    </w:p>
    <w:p xmlns:wp14="http://schemas.microsoft.com/office/word/2010/wordml" w:rsidP="66B5BAF8" wp14:paraId="51F32A7A" wp14:textId="1D463DC8">
      <w:pPr>
        <w:pStyle w:val="ListParagraph"/>
        <w:numPr>
          <w:ilvl w:val="1"/>
          <w:numId w:val="2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Staff Title/Role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column, </w:t>
      </w:r>
      <w:r w:rsidRPr="66B5BAF8" w:rsidR="536F56ED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 should enter in the staff titles or roles that will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be responsible for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completing the deliverable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 </w:t>
      </w:r>
    </w:p>
    <w:p xmlns:wp14="http://schemas.microsoft.com/office/word/2010/wordml" w:rsidP="66B5BAF8" wp14:paraId="1EECE4C2" wp14:textId="6068BF40">
      <w:pPr>
        <w:pStyle w:val="ListParagraph"/>
        <w:numPr>
          <w:ilvl w:val="1"/>
          <w:numId w:val="2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Rate Per Hour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column, </w:t>
      </w:r>
      <w:r w:rsidRPr="66B5BAF8" w:rsidR="2D2693A9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s should enter in the associated consultant hourly rate for each staff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 </w:t>
      </w:r>
    </w:p>
    <w:p xmlns:wp14="http://schemas.microsoft.com/office/word/2010/wordml" w:rsidP="66B5BAF8" wp14:paraId="5B7E2CDA" wp14:textId="15C20AAB">
      <w:pPr>
        <w:pStyle w:val="ListParagraph"/>
        <w:numPr>
          <w:ilvl w:val="1"/>
          <w:numId w:val="2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In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Estimated Hours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column, </w:t>
      </w:r>
      <w:r w:rsidRPr="66B5BAF8" w:rsidR="2ABF5E16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s should enter in the estimated hours for each staff.</w:t>
      </w:r>
    </w:p>
    <w:p xmlns:wp14="http://schemas.microsoft.com/office/word/2010/wordml" w:rsidP="66B5BAF8" wp14:paraId="51842EAB" wp14:textId="365AC176">
      <w:pPr>
        <w:pStyle w:val="ListParagraph"/>
        <w:numPr>
          <w:ilvl w:val="1"/>
          <w:numId w:val="2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$ Amount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column, </w:t>
      </w:r>
      <w:r w:rsidRPr="66B5BAF8" w:rsidR="741CE478">
        <w:rPr>
          <w:rFonts w:ascii="Calibri" w:hAnsi="Calibri" w:eastAsia="Calibri" w:cs="Calibri"/>
          <w:noProof w:val="0"/>
          <w:sz w:val="22"/>
          <w:szCs w:val="22"/>
          <w:lang w:val="en-US"/>
        </w:rPr>
        <w:t>propo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s</w:t>
      </w:r>
      <w:r w:rsidRPr="66B5BAF8" w:rsidR="741CE478">
        <w:rPr>
          <w:rFonts w:ascii="Calibri" w:hAnsi="Calibri" w:eastAsia="Calibri" w:cs="Calibri"/>
          <w:noProof w:val="0"/>
          <w:sz w:val="22"/>
          <w:szCs w:val="22"/>
          <w:lang w:val="en-US"/>
        </w:rPr>
        <w:t>ers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should calculate $ amount for each staff person using the following formula: </w:t>
      </w:r>
    </w:p>
    <w:p xmlns:wp14="http://schemas.microsoft.com/office/word/2010/wordml" w:rsidP="66B5BAF8" wp14:paraId="200B4025" wp14:textId="4A499E57">
      <w:pPr>
        <w:spacing w:before="0" w:beforeAutospacing="off" w:after="0" w:afterAutospacing="off"/>
        <w:ind w:left="1440" w:right="0"/>
      </w:pPr>
      <w:r w:rsidRPr="66B5BAF8" w:rsidR="518EB651">
        <w:rPr>
          <w:rFonts w:ascii="Calibri" w:hAnsi="Calibri" w:eastAsia="Calibri" w:cs="Calibri"/>
          <w:i w:val="1"/>
          <w:iCs w:val="1"/>
          <w:noProof w:val="0"/>
          <w:sz w:val="12"/>
          <w:szCs w:val="12"/>
          <w:lang w:val="en-US"/>
        </w:rPr>
        <w:t xml:space="preserve"> </w:t>
      </w:r>
    </w:p>
    <w:p xmlns:wp14="http://schemas.microsoft.com/office/word/2010/wordml" w:rsidP="66B5BAF8" wp14:paraId="39A26898" wp14:textId="496C09D5">
      <w:pPr>
        <w:spacing w:before="0" w:beforeAutospacing="off" w:after="0" w:afterAutospacing="off"/>
        <w:ind w:left="1440" w:right="0"/>
      </w:pPr>
      <w:r w:rsidRPr="66B5BAF8" w:rsidR="518EB651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Hourly Consultant Rate x Estimated # of Hours = $ Amount </w:t>
      </w:r>
    </w:p>
    <w:p xmlns:wp14="http://schemas.microsoft.com/office/word/2010/wordml" w:rsidP="66B5BAF8" wp14:paraId="55180409" wp14:textId="27CA5DD7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344A1A02" wp14:textId="164C003F">
      <w:pPr>
        <w:spacing w:before="0" w:beforeAutospacing="off" w:after="0" w:afterAutospacing="off"/>
        <w:ind w:firstLine="720"/>
      </w:pP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Non-Personnel – Other Than Personnel Services (OTPS): </w:t>
      </w:r>
    </w:p>
    <w:p xmlns:wp14="http://schemas.microsoft.com/office/word/2010/wordml" w:rsidP="66B5BAF8" wp14:paraId="16F8B694" wp14:textId="45E5DA86">
      <w:pPr>
        <w:pStyle w:val="ListParagraph"/>
        <w:numPr>
          <w:ilvl w:val="0"/>
          <w:numId w:val="3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Non-Personnel (OTPS)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column, </w:t>
      </w:r>
      <w:r w:rsidRPr="66B5BAF8" w:rsidR="2C7F4EF7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proposers should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include a description of the non-personnel cost (e.g.,</w:t>
      </w:r>
      <w:r w:rsidRPr="66B5BAF8" w:rsidR="3B8008B5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virtual meeting platform subscription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), </w:t>
      </w:r>
    </w:p>
    <w:p xmlns:wp14="http://schemas.microsoft.com/office/word/2010/wordml" w:rsidP="66B5BAF8" wp14:paraId="609E0609" wp14:textId="4330442E">
      <w:pPr>
        <w:pStyle w:val="ListParagraph"/>
        <w:numPr>
          <w:ilvl w:val="0"/>
          <w:numId w:val="3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Unit Cost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column, </w:t>
      </w:r>
      <w:r w:rsidRPr="66B5BAF8" w:rsidR="0D93CD32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 should enter in the unit cost for the OTPS expense. </w:t>
      </w:r>
    </w:p>
    <w:p xmlns:wp14="http://schemas.microsoft.com/office/word/2010/wordml" w:rsidP="66B5BAF8" wp14:paraId="4906AB73" wp14:textId="1EB13209">
      <w:pPr>
        <w:pStyle w:val="ListParagraph"/>
        <w:numPr>
          <w:ilvl w:val="0"/>
          <w:numId w:val="3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In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Estimated # of Units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column, </w:t>
      </w:r>
      <w:r w:rsidRPr="66B5BAF8" w:rsidR="658752ED">
        <w:rPr>
          <w:rFonts w:ascii="Calibri" w:hAnsi="Calibri" w:eastAsia="Calibri" w:cs="Calibri"/>
          <w:noProof w:val="0"/>
          <w:sz w:val="22"/>
          <w:szCs w:val="22"/>
          <w:lang w:val="en-US"/>
        </w:rPr>
        <w:t>proposers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should enter in the estimated units needed. </w:t>
      </w:r>
    </w:p>
    <w:p xmlns:wp14="http://schemas.microsoft.com/office/word/2010/wordml" w:rsidP="66B5BAF8" wp14:paraId="1717E06E" wp14:textId="67EC65EA">
      <w:pPr>
        <w:pStyle w:val="ListParagraph"/>
        <w:numPr>
          <w:ilvl w:val="0"/>
          <w:numId w:val="3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</w:t>
      </w: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$ Amount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column, </w:t>
      </w:r>
      <w:r w:rsidRPr="66B5BAF8" w:rsidR="6F6B262E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 should calculate $ amount for each item using the following formula: </w:t>
      </w:r>
    </w:p>
    <w:p xmlns:wp14="http://schemas.microsoft.com/office/word/2010/wordml" w:rsidP="66B5BAF8" wp14:paraId="576740E4" wp14:textId="7F22D244">
      <w:pPr>
        <w:spacing w:before="0" w:beforeAutospacing="off" w:after="0" w:afterAutospacing="off"/>
        <w:ind w:left="1440" w:right="0"/>
      </w:pPr>
      <w:r w:rsidRPr="66B5BAF8" w:rsidR="518EB651">
        <w:rPr>
          <w:rFonts w:ascii="Calibri" w:hAnsi="Calibri" w:eastAsia="Calibri" w:cs="Calibri"/>
          <w:noProof w:val="0"/>
          <w:sz w:val="12"/>
          <w:szCs w:val="12"/>
          <w:lang w:val="en-US"/>
        </w:rPr>
        <w:t xml:space="preserve"> </w:t>
      </w:r>
    </w:p>
    <w:p xmlns:wp14="http://schemas.microsoft.com/office/word/2010/wordml" w:rsidP="66B5BAF8" wp14:paraId="0AE055A0" wp14:textId="014E95BB">
      <w:pPr>
        <w:spacing w:before="0" w:beforeAutospacing="off" w:after="0" w:afterAutospacing="off"/>
        <w:ind w:left="1440" w:right="0"/>
      </w:pPr>
      <w:r w:rsidRPr="66B5BAF8" w:rsidR="518EB651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Unit cost x Estimated # of Units = $ Amount </w:t>
      </w:r>
    </w:p>
    <w:p xmlns:wp14="http://schemas.microsoft.com/office/word/2010/wordml" w:rsidP="66B5BAF8" wp14:paraId="68421885" wp14:textId="373BCF2A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66B5BAF8" wp14:paraId="092118F2" wp14:textId="3A002EA0">
      <w:pPr>
        <w:spacing w:before="0" w:beforeAutospacing="off" w:after="0" w:afterAutospacing="off"/>
        <w:ind w:firstLine="720"/>
      </w:pPr>
      <w:r w:rsidRPr="66B5BAF8" w:rsidR="518EB65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Total for Deliverable:</w:t>
      </w:r>
    </w:p>
    <w:p xmlns:wp14="http://schemas.microsoft.com/office/word/2010/wordml" w:rsidP="66B5BAF8" wp14:paraId="63F0BA08" wp14:textId="488F972C">
      <w:pPr>
        <w:pStyle w:val="ListParagraph"/>
        <w:numPr>
          <w:ilvl w:val="0"/>
          <w:numId w:val="4"/>
        </w:numPr>
        <w:spacing w:before="0" w:beforeAutospacing="off" w:after="0" w:afterAutospacing="off"/>
        <w:ind w:left="144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10AE3087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s should add up all Personnel and OTPS costs to calculate a total deliverable dollar amount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 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In addition, the total deliverable dollar amount should be rounded down to the nearest dollar. </w:t>
      </w:r>
    </w:p>
    <w:p xmlns:wp14="http://schemas.microsoft.com/office/word/2010/wordml" w:rsidP="66B5BAF8" wp14:paraId="00781827" wp14:textId="6AC195F4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66B5BAF8" wp14:paraId="01B6131F" wp14:textId="28496350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*Please note, you can add additional rows for Personnel or OTPS costs if needed. </w:t>
      </w:r>
    </w:p>
    <w:p xmlns:wp14="http://schemas.microsoft.com/office/word/2010/wordml" w:rsidP="66B5BAF8" wp14:paraId="1759179D" wp14:textId="151E2B5D">
      <w:pPr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tbl>
      <w:tblPr>
        <w:tblStyle w:val="TableGrid"/>
        <w:bidiVisual w:val="0"/>
        <w:tblW w:w="0" w:type="auto"/>
        <w:tblLook w:val="04A0" w:firstRow="1" w:lastRow="0" w:firstColumn="1" w:lastColumn="0" w:noHBand="0" w:noVBand="1"/>
      </w:tblPr>
      <w:tblGrid>
        <w:gridCol w:w="1650"/>
        <w:gridCol w:w="3360"/>
      </w:tblGrid>
      <w:tr w:rsidR="66B5BAF8" w:rsidTr="66B5BAF8" w14:paraId="7DD0007B">
        <w:trPr>
          <w:trHeight w:val="300"/>
        </w:trPr>
        <w:tc>
          <w:tcPr>
            <w:tcW w:w="16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156082" w:themeFill="accent1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83B2A1D" w14:textId="2DFBAAFC">
            <w:pPr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mallCaps w:val="1"/>
                <w:color w:val="FFFFFF" w:themeColor="background1" w:themeTint="FF" w:themeShade="FF"/>
                <w:sz w:val="20"/>
                <w:szCs w:val="20"/>
              </w:rPr>
              <w:t>Budget Period</w:t>
            </w:r>
          </w:p>
        </w:tc>
        <w:tc>
          <w:tcPr>
            <w:tcW w:w="336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nil"/>
            </w:tcBorders>
            <w:tcMar>
              <w:left w:w="108" w:type="dxa"/>
              <w:right w:w="108" w:type="dxa"/>
            </w:tcMar>
            <w:vAlign w:val="top"/>
          </w:tcPr>
          <w:p w:rsidR="02F05044" w:rsidP="66B5BAF8" w:rsidRDefault="02F05044" w14:paraId="55CFC786" w14:textId="26C9473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6B5BAF8" w:rsidR="02F05044">
              <w:rPr>
                <w:rFonts w:ascii="Calibri" w:hAnsi="Calibri" w:eastAsia="Calibri" w:cs="Calibri"/>
                <w:sz w:val="20"/>
                <w:szCs w:val="20"/>
              </w:rPr>
              <w:t>07/01/2026-11/30/2026</w:t>
            </w:r>
          </w:p>
        </w:tc>
      </w:tr>
    </w:tbl>
    <w:p xmlns:wp14="http://schemas.microsoft.com/office/word/2010/wordml" w:rsidP="66B5BAF8" wp14:paraId="6C5DE1DA" wp14:textId="6EB8B65E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4613"/>
        <w:gridCol w:w="1451"/>
        <w:gridCol w:w="1530"/>
        <w:gridCol w:w="1767"/>
      </w:tblGrid>
      <w:tr w:rsidR="66B5BAF8" w:rsidTr="38ABC15A" w14:paraId="7FECBB5A">
        <w:trPr>
          <w:trHeight w:val="255"/>
        </w:trPr>
        <w:tc>
          <w:tcPr>
            <w:tcW w:w="9361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3F6399C" w14:textId="33CA3D9C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38ABC15A" w:rsidR="4162B34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Activity 1:</w:t>
            </w:r>
            <w:r w:rsidRPr="38ABC15A" w:rsidR="4162B34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8ABC15A" w:rsidR="38E921B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Communication with Contract Management Team</w:t>
            </w:r>
          </w:p>
          <w:p w:rsidR="66B5BAF8" w:rsidP="38ABC15A" w:rsidRDefault="66B5BAF8" w14:paraId="4B3AB97E" w14:textId="3F2C77F6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38ABC15A" w:rsidR="4162B34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66B5BAF8" w:rsidP="38ABC15A" w:rsidRDefault="66B5BAF8" w14:paraId="152D3127" w14:textId="743F5418">
            <w:pPr>
              <w:widowControl w:val="1"/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38ABC15A" w:rsidR="4162B34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Deliverable 1:</w:t>
            </w:r>
            <w:r w:rsidRPr="38ABC15A" w:rsidR="4162B34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8ABC15A" w:rsidR="1A66A3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Meet with the contract management team weekly. Meetings are subject to be cancelled or rescheduled due to time off, holidays, or other conflicts. Proposals should </w:t>
            </w:r>
            <w:r w:rsidRPr="38ABC15A" w:rsidR="1A66A3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anticipate</w:t>
            </w:r>
            <w:r w:rsidRPr="38ABC15A" w:rsidR="1A66A3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20 meetings lasting about 30 minutes.</w:t>
            </w:r>
          </w:p>
        </w:tc>
      </w:tr>
      <w:tr w:rsidR="66B5BAF8" w:rsidTr="38ABC15A" w14:paraId="6681E956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8FAC9AE" w14:textId="6CC0E66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Personnel - Staff Title/Role</w:t>
            </w:r>
          </w:p>
        </w:tc>
        <w:tc>
          <w:tcPr>
            <w:tcW w:w="1451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25F6D55" w14:textId="18F7C46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Rate Per Hour</w:t>
            </w:r>
          </w:p>
        </w:tc>
        <w:tc>
          <w:tcPr>
            <w:tcW w:w="153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78055936" w14:textId="04B3C44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Estimated Hours</w:t>
            </w:r>
          </w:p>
        </w:tc>
        <w:tc>
          <w:tcPr>
            <w:tcW w:w="1767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747084E" w14:textId="396CC5A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$ Amount </w:t>
            </w:r>
          </w:p>
        </w:tc>
      </w:tr>
      <w:tr w:rsidR="66B5BAF8" w:rsidTr="38ABC15A" w14:paraId="53E421EB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C2F01A2" w14:textId="3EEA125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DBC1A81" w14:textId="721253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6D24671" w14:textId="13E3F17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02003EE" w14:textId="5199964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706AC20A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070236C" w14:textId="03E5EBF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4B57EEA3" w14:textId="53DD687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818F940" w14:textId="0282011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1426E61" w14:textId="150E946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5C93C280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BE741B3" w14:textId="60A8E26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D17B567" w14:textId="0BF4952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7ABA864" w14:textId="739738B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8F0DAD7" w14:textId="3CE596B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075D5F2C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14FA3ED" w14:textId="4E8DED2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255CF6F" w14:textId="2FBF47F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6301C15" w14:textId="19AA805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AEE6AEF" w14:textId="066C330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39AC8BDE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FF6DCF6" w14:textId="4913F7E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5AD6D7D" w14:textId="434A0AB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71751A5" w14:textId="05CEEE2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89B778D" w14:textId="4D56125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0B493D6E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A814073" w14:textId="73B7B72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B930794" w14:textId="2CEB4C5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DDE0C65" w14:textId="70E984D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107EB41" w14:textId="47CF966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2989FED0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CFA95E9" w14:textId="6455C46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FCCA2C7" w14:textId="026F0D0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975CA69" w14:textId="2759E51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8C5ABC1" w14:textId="79686D3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1E3EF900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281E73F" w14:textId="1762CEA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55FA0B7" w14:textId="735DB55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92DC9C0" w14:textId="318A818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500BCC3" w14:textId="04A2D7A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0CE7E351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2798472" w14:textId="5D23C68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419120A" w14:textId="2E2947F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0122415" w14:textId="337E7BE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C5B8D1C" w14:textId="4CB6101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66B5BAF8" w:rsidTr="38ABC15A" w14:paraId="3DA84562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A03A10D" w14:textId="51D4096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BDBB77A" w14:textId="7DFD1B8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C28C3DB" w14:textId="2BB1BE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030B2FE" w14:textId="18DF1F6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25DD236A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05F61A5" w14:textId="1144D34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8D18795" w14:textId="1537909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926D9D2" w14:textId="016102B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CD3D5C5" w14:textId="27A0680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  <w:tr w:rsidR="66B5BAF8" w:rsidTr="38ABC15A" w14:paraId="69C07605">
        <w:trPr>
          <w:trHeight w:val="255"/>
        </w:trPr>
        <w:tc>
          <w:tcPr>
            <w:tcW w:w="461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9120BD8" w14:textId="5D08BB2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5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F64F7E1" w14:textId="6AE1209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  <w:tc>
          <w:tcPr>
            <w:tcW w:w="153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542C400" w14:textId="4AB6C55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ADABD52" w14:textId="62DE667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  <w:tr w:rsidR="66B5BAF8" w:rsidTr="38ABC15A" w14:paraId="03CAEE80">
        <w:trPr>
          <w:trHeight w:val="255"/>
        </w:trPr>
        <w:tc>
          <w:tcPr>
            <w:tcW w:w="7594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E84FB45" w14:textId="3171172E">
            <w:pPr>
              <w:bidi w:val="0"/>
              <w:spacing w:before="0" w:beforeAutospacing="off" w:after="0" w:afterAutospacing="off"/>
              <w:jc w:val="right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Total for Deliverable #1: </w:t>
            </w:r>
          </w:p>
        </w:tc>
        <w:tc>
          <w:tcPr>
            <w:tcW w:w="1767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E4EBB83" w14:textId="0896629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66B5BAF8" wp14:paraId="5AFFAFFB" wp14:textId="2A60506A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66B5BAF8" wp14:paraId="7BF8FC8F" wp14:textId="0FC6A578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4669"/>
        <w:gridCol w:w="1429"/>
        <w:gridCol w:w="1510"/>
        <w:gridCol w:w="1753"/>
      </w:tblGrid>
      <w:tr w:rsidR="66B5BAF8" w:rsidTr="38ABC15A" w14:paraId="429F253B">
        <w:trPr>
          <w:trHeight w:val="675"/>
        </w:trPr>
        <w:tc>
          <w:tcPr>
            <w:tcW w:w="9361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66B5BAF8" w:rsidP="38ABC15A" w:rsidRDefault="66B5BAF8" w14:paraId="0F38FB0E" w14:textId="0C624757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38ABC15A" w:rsidR="4162B34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Activity 2:</w:t>
            </w:r>
            <w:r w:rsidRPr="38ABC15A" w:rsidR="4162B341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8ABC15A" w:rsidR="1748FCA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Review existing materials</w:t>
            </w:r>
          </w:p>
          <w:p w:rsidR="66B5BAF8" w:rsidP="38ABC15A" w:rsidRDefault="66B5BAF8" w14:paraId="7BA64262" w14:textId="0DC78D78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38ABC15A" w:rsidR="4162B341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66B5BAF8" w:rsidP="38ABC15A" w:rsidRDefault="66B5BAF8" w14:paraId="0DA917D0" w14:textId="5E65048E">
            <w:pPr>
              <w:pStyle w:val="Normal"/>
              <w:widowControl w:val="1"/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38ABC15A" w:rsidR="5211786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Deliverable 2:</w:t>
            </w:r>
            <w:r w:rsidRPr="38ABC15A" w:rsidR="5F9B2B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Read and review existing materials related to past department-wide health equity surveys. Materials will be provided by The Office of Health Equity and Human Rights to help inform the development of the survey.</w:t>
            </w:r>
          </w:p>
        </w:tc>
      </w:tr>
      <w:tr w:rsidR="66B5BAF8" w:rsidTr="38ABC15A" w14:paraId="78C3E36C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4B60406" w14:textId="2B9A880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Personnel - Staff Title/Role</w:t>
            </w:r>
          </w:p>
        </w:tc>
        <w:tc>
          <w:tcPr>
            <w:tcW w:w="1429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166BC71" w14:textId="3DEEE7C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Rate Per Hour</w:t>
            </w:r>
          </w:p>
        </w:tc>
        <w:tc>
          <w:tcPr>
            <w:tcW w:w="151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7A67E7F" w14:textId="0E441C9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Estimated Hours</w:t>
            </w:r>
          </w:p>
        </w:tc>
        <w:tc>
          <w:tcPr>
            <w:tcW w:w="1753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8C65124" w14:textId="76F5582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$ Amount </w:t>
            </w:r>
          </w:p>
        </w:tc>
      </w:tr>
      <w:tr w:rsidR="66B5BAF8" w:rsidTr="38ABC15A" w14:paraId="03C25361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B79E245" w14:textId="71857E4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5102152" w14:textId="328CF60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AA57778" w14:textId="623609A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8B9A9A7" w14:textId="420C9DD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54390C8E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7A30B16" w14:textId="0ED6FBD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72202A82" w14:textId="62DC8D8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2D99DF5" w14:textId="743AE75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0514BDD" w14:textId="123D72D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5BA65C59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CFF76A6" w14:textId="1BD9F97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5EEAA5D" w14:textId="1A73BC6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2D9B700" w14:textId="5DAB2BE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095A01A" w14:textId="2CC7B7B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2E4643B2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4F02560" w14:textId="76685F5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E1D61E4" w14:textId="4BC4479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2959439" w14:textId="7BA8087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66D68BE" w14:textId="402D3D9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360A8A7E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384D49A" w14:textId="70108F5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B779885" w14:textId="1652F36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D0020D0" w14:textId="1C0B326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B455212" w14:textId="56C2AFA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727B212A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7A5EA37" w14:textId="4EE96DB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2951CE2" w14:textId="2468759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1C9B2E0" w14:textId="42C9471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87702FE" w14:textId="6D01CC4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6DD212A3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3B333A1" w14:textId="74B588D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7E01915" w14:textId="3250064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5B174F0" w14:textId="3282BCE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6DF8D7C" w14:textId="66E4985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7F96B037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6927D7A" w14:textId="4E98B3A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73C0465" w14:textId="0C20276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C83083A" w14:textId="5518DB3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C14A390" w14:textId="0BB69F7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31A046C0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36EF98B" w14:textId="763B187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EFCA33C" w14:textId="4DDB64E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6F9917B" w14:textId="2FB5FFC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A71B0EF" w14:textId="662ECDC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66B5BAF8" w:rsidTr="38ABC15A" w14:paraId="75D5F877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5B66261" w14:textId="03F8369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38862EF" w14:textId="4A7A46E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7D84160" w14:textId="579CC4D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96F8794" w14:textId="16A3DBA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2A6098EC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43AF5EF" w14:textId="6984752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B10CD65" w14:textId="497783A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E177AFE" w14:textId="666277C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CEB0A17" w14:textId="1957828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  <w:tr w:rsidR="66B5BAF8" w:rsidTr="38ABC15A" w14:paraId="2D7CE8EE">
        <w:trPr>
          <w:trHeight w:val="255"/>
        </w:trPr>
        <w:tc>
          <w:tcPr>
            <w:tcW w:w="466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0EE1CCE" w14:textId="50A8724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29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B588F49" w14:textId="7BC703A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  <w:tc>
          <w:tcPr>
            <w:tcW w:w="151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E8A5AE0" w14:textId="6EDD39B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7A7A6F6" w14:textId="15403DE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  <w:tr w:rsidR="66B5BAF8" w:rsidTr="38ABC15A" w14:paraId="19D7F14F">
        <w:trPr>
          <w:trHeight w:val="255"/>
        </w:trPr>
        <w:tc>
          <w:tcPr>
            <w:tcW w:w="7608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9CC2862" w14:textId="68EBFDF3">
            <w:pPr>
              <w:bidi w:val="0"/>
              <w:spacing w:before="0" w:beforeAutospacing="off" w:after="0" w:afterAutospacing="off"/>
              <w:jc w:val="right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Total for Deliverable #2: </w:t>
            </w:r>
          </w:p>
        </w:tc>
        <w:tc>
          <w:tcPr>
            <w:tcW w:w="1753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5C04CAD" w14:textId="76ECFAD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66B5BAF8" wp14:paraId="717848B9" wp14:textId="5C8FD7FA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66B5BAF8" wp14:paraId="1AB33DE8" wp14:textId="76C59B4F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66B5BAF8" wp14:paraId="6B34F270" wp14:textId="6BC28B7D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4656"/>
        <w:gridCol w:w="1434"/>
        <w:gridCol w:w="1514"/>
        <w:gridCol w:w="1756"/>
      </w:tblGrid>
      <w:tr w:rsidR="66B5BAF8" w:rsidTr="38ABC15A" w14:paraId="1C43E94D">
        <w:trPr>
          <w:trHeight w:val="255"/>
        </w:trPr>
        <w:tc>
          <w:tcPr>
            <w:tcW w:w="9360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934BC2B" w14:textId="1154710B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38ABC15A" w:rsidR="5211786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Activity 3:</w:t>
            </w:r>
            <w:r w:rsidRPr="38ABC15A" w:rsidR="52117865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8ABC15A" w:rsidR="2BEEB15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Survey </w:t>
            </w:r>
            <w:r w:rsidRPr="38ABC15A" w:rsidR="031255F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Development</w:t>
            </w:r>
          </w:p>
          <w:p w:rsidR="66B5BAF8" w:rsidP="7E49A06F" w:rsidRDefault="66B5BAF8" w14:paraId="2C14DCEF" w14:textId="3A6B284D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38ABC15A" w:rsidR="363C6E2E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66B5BAF8" w:rsidP="38ABC15A" w:rsidRDefault="66B5BAF8" w14:paraId="3258E0E1" w14:textId="14A6317F">
            <w:pPr>
              <w:pStyle w:val="Normal"/>
              <w:widowControl w:val="1"/>
              <w:bidi w:val="0"/>
              <w:spacing w:before="0" w:beforeAutospacing="off" w:after="0" w:afterAutospacing="off"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8ABC15A" w:rsidR="363C6E2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Deliverable 3:</w:t>
            </w:r>
            <w:r w:rsidRPr="38ABC15A" w:rsidR="67C0E3F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8ABC15A" w:rsidR="67C0E3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Develop and design survey. Develop a user-friendly survey that is accessible and provides context/definitions. Survey should include both quantitative and qualitative questions. Input approved survey questions on a user-friendly platform. Create a proposed timeline of survey implementation.</w:t>
            </w:r>
          </w:p>
          <w:p w:rsidR="66B5BAF8" w:rsidP="38ABC15A" w:rsidRDefault="66B5BAF8" w14:paraId="58C01ADA" w14:textId="1E761D7E">
            <w:pPr>
              <w:pStyle w:val="ListParagraph"/>
              <w:widowControl w:val="1"/>
              <w:numPr>
                <w:ilvl w:val="1"/>
                <w:numId w:val="15"/>
              </w:numPr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8ABC15A" w:rsidR="67C0E3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Develop a marketing and recruitment plan for survey participation to be </w:t>
            </w:r>
            <w:r w:rsidRPr="38ABC15A" w:rsidR="67C0E3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disseminated</w:t>
            </w:r>
            <w:r w:rsidRPr="38ABC15A" w:rsidR="67C0E3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by the Office of Health Equity and Human Rights contract management team.</w:t>
            </w:r>
          </w:p>
          <w:p w:rsidR="66B5BAF8" w:rsidP="38ABC15A" w:rsidRDefault="66B5BAF8" w14:paraId="303AEE2A" w14:textId="69F78233">
            <w:pPr>
              <w:pStyle w:val="ListParagraph"/>
              <w:widowControl w:val="1"/>
              <w:numPr>
                <w:ilvl w:val="2"/>
                <w:numId w:val="15"/>
              </w:numPr>
              <w:bidi w:val="0"/>
              <w:spacing w:before="0" w:beforeAutospacing="off" w:after="0" w:afterAutospacing="off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8ABC15A" w:rsidR="67C0E3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Plan should include a minimum of one pre-written all staff email and one flyer intended for staff.</w:t>
            </w:r>
          </w:p>
        </w:tc>
      </w:tr>
      <w:tr w:rsidR="66B5BAF8" w:rsidTr="38ABC15A" w14:paraId="64E0BF87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3128C82" w14:textId="2BD7ACE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Personnel - Staff Title/Role</w:t>
            </w:r>
          </w:p>
        </w:tc>
        <w:tc>
          <w:tcPr>
            <w:tcW w:w="1434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50C07A9" w14:textId="498937E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Rate Per Hour</w:t>
            </w:r>
          </w:p>
        </w:tc>
        <w:tc>
          <w:tcPr>
            <w:tcW w:w="1514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997F1D9" w14:textId="191DD2E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Estimated Hours</w:t>
            </w:r>
          </w:p>
        </w:tc>
        <w:tc>
          <w:tcPr>
            <w:tcW w:w="1756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756A7BD3" w14:textId="77E6309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$ Amount </w:t>
            </w:r>
          </w:p>
        </w:tc>
      </w:tr>
      <w:tr w:rsidR="66B5BAF8" w:rsidTr="38ABC15A" w14:paraId="223205AA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FC34785" w14:textId="498F627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0FB4C03" w14:textId="34C742F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0A8C084" w14:textId="48B9468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017306F" w14:textId="2DD862E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5448CA4A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2BDC9A6" w14:textId="5E4B9AF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6102C96" w14:textId="7376DF0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655DF2F" w14:textId="33DAF6E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55CDF44" w14:textId="11AFE2D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18C6E5E2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9001681" w14:textId="3ABAC22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8E3A667" w14:textId="201B75B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EEF7A5D" w14:textId="18D19C6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5F8C934" w14:textId="2EC26F3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5FA260E4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9D41C4F" w14:textId="646B416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D0ADAE5" w14:textId="74BF988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7BC4CAE" w14:textId="28F2673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14D6B10" w14:textId="718E5D1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3347DFA7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CA7BF77" w14:textId="22AA277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47654F2" w14:textId="777CC6A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0DA5854" w14:textId="7C47F39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BD8F6BC" w14:textId="47A7100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6412E521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CCC1578" w14:textId="0D09805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EAA1389" w14:textId="65C3531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F37831D" w14:textId="099CB90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25D26F7" w14:textId="11BE7DA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5EA5AB23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0BF815B" w14:textId="7F63CF5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91882A2" w14:textId="3451225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A74F8EA" w14:textId="5A9CB79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DAF7736" w14:textId="65E4BF9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1FCD293B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A92F36E" w14:textId="359D88A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3DC9256" w14:textId="7EA262C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33FA60C" w14:textId="49E86BB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2ED61F9" w14:textId="6775151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5F174444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1C40963" w14:textId="307EFF8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8B9D5B1" w14:textId="654D0D3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D3F4444" w14:textId="49A7D81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9051DC2" w14:textId="6B8249D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66B5BAF8" w:rsidTr="38ABC15A" w14:paraId="3609D117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B293278" w14:textId="50AE311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3E5FCA6" w14:textId="7D23CB7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F6DB3E4" w14:textId="01880CF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A50FB3B" w14:textId="7A70A25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6C2C7FDD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E1C728D" w14:textId="39D0C32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EE6938D" w14:textId="36C9B7B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9576E92" w14:textId="1732A9A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F973BA5" w14:textId="3561EAE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6F765F7C">
        <w:trPr>
          <w:trHeight w:val="255"/>
        </w:trPr>
        <w:tc>
          <w:tcPr>
            <w:tcW w:w="46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E12BED6" w14:textId="0783D15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43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D0A1454" w14:textId="2EB4474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514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9F9AEA2" w14:textId="1DDBDE8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BD77D5D" w14:textId="4FFB718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76A52BDD">
        <w:trPr>
          <w:trHeight w:val="255"/>
        </w:trPr>
        <w:tc>
          <w:tcPr>
            <w:tcW w:w="7604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6696459" w14:textId="5B541F64">
            <w:pPr>
              <w:bidi w:val="0"/>
              <w:spacing w:before="0" w:beforeAutospacing="off" w:after="0" w:afterAutospacing="off"/>
              <w:jc w:val="right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Total for Deliverable #3: </w:t>
            </w:r>
          </w:p>
        </w:tc>
        <w:tc>
          <w:tcPr>
            <w:tcW w:w="1756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B465DE9" w14:textId="284994E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66B5BAF8" wp14:paraId="72271E87" wp14:textId="382EEA39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38ABC15A" wp14:paraId="72744A09" wp14:textId="37B26E52">
      <w:p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8ABC15A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5308"/>
        <w:gridCol w:w="1588"/>
        <w:gridCol w:w="1681"/>
        <w:gridCol w:w="780"/>
      </w:tblGrid>
      <w:tr w:rsidR="66B5BAF8" w:rsidTr="38ABC15A" w14:paraId="671F1552">
        <w:trPr>
          <w:trHeight w:val="302"/>
        </w:trPr>
        <w:tc>
          <w:tcPr>
            <w:tcW w:w="9357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363C6E2E" w:rsidP="38ABC15A" w:rsidRDefault="363C6E2E" w14:paraId="53A727A4" w14:textId="606E78FA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38ABC15A" w:rsidR="363C6E2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Activity 4:</w:t>
            </w:r>
            <w:r w:rsidRPr="38ABC15A" w:rsidR="363C6E2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8ABC15A" w:rsidR="0CF8D48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Survey Analysis </w:t>
            </w:r>
          </w:p>
          <w:p w:rsidR="38ABC15A" w:rsidP="38ABC15A" w:rsidRDefault="38ABC15A" w14:paraId="570E9651" w14:textId="6384AA1D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</w:p>
          <w:p w:rsidR="66B5BAF8" w:rsidP="38ABC15A" w:rsidRDefault="66B5BAF8" w14:paraId="22836C1A" w14:textId="3ACF8A13">
            <w:pPr>
              <w:widowControl w:val="1"/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38ABC15A" w:rsidR="363C6E2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Deliverable 4:</w:t>
            </w:r>
            <w:r w:rsidRPr="38ABC15A" w:rsidR="363C6E2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8ABC15A" w:rsidR="0E970DD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Analyze and interpret survey data. Interpret both quantitative and qualitative data collected.</w:t>
            </w:r>
          </w:p>
          <w:p w:rsidR="66B5BAF8" w:rsidP="38ABC15A" w:rsidRDefault="66B5BAF8" w14:paraId="39B311C0" w14:textId="253662A4">
            <w:pPr>
              <w:widowControl w:val="1"/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6B5BAF8" w:rsidTr="38ABC15A" w14:paraId="03ECCCE7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B99E3D5" w14:textId="78CB8C7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Personnel - Staff Title/Role</w:t>
            </w:r>
          </w:p>
        </w:tc>
        <w:tc>
          <w:tcPr>
            <w:tcW w:w="1588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A724FF5" w14:textId="5017829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Rate Per Hour</w:t>
            </w:r>
          </w:p>
        </w:tc>
        <w:tc>
          <w:tcPr>
            <w:tcW w:w="1681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69CBBAB" w14:textId="5AB8EE3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Estimated Hours</w:t>
            </w:r>
          </w:p>
        </w:tc>
        <w:tc>
          <w:tcPr>
            <w:tcW w:w="78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54F57C3" w14:textId="25E4AFB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$ Amount </w:t>
            </w:r>
          </w:p>
        </w:tc>
      </w:tr>
      <w:tr w:rsidR="66B5BAF8" w:rsidTr="38ABC15A" w14:paraId="2C1947F2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B4E7FF2" w14:textId="68D92EE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49756BD" w14:textId="6E94FB2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C52AB29" w14:textId="24853FB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3C6DD99" w14:textId="2E0606C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3DBAD124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7AA7E95" w14:textId="457FAF1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96134D4" w14:textId="5F06B68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3502F8B" w14:textId="7B82E7B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114C790" w14:textId="6D87427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3A5B4895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EC9FF6D" w14:textId="2FFD858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4B6E9442" w14:textId="7E847EF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CFE1207" w14:textId="25EE87B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5499C60" w14:textId="42A31FC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32A704A4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7CF4A7C" w14:textId="7B0E181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7E905CAB" w14:textId="291F3EE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DC985A6" w14:textId="13B0F0A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05CE6F2" w14:textId="43F9D96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6830515F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D8116C1" w14:textId="00175C9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995E54C" w14:textId="1CA3E5E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26C1656" w14:textId="70CC1C8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D7B91B1" w14:textId="1EDEB6A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044447E2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00DB0DF" w14:textId="7D01057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C1C5B29" w14:textId="7BEA153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8DFFC2B" w14:textId="3C860F5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451391D" w14:textId="189AA85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0463D951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59AA6CC" w14:textId="39C460A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DB2B513" w14:textId="7FB42F2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779FFE7" w14:textId="3DFD0D2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177DEF2" w14:textId="2065A9F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36C6BAB1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8C7308C" w14:textId="375AA1A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B3A711F" w14:textId="44F5D59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46E3954" w14:textId="3BE127B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3A23025" w14:textId="1BFE131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435ECF22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81DA76D" w14:textId="32DC5A4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154F789" w14:textId="147109D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FD66CC6" w14:textId="3BEF219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927C2E8" w14:textId="320BCB0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66B5BAF8" w:rsidTr="38ABC15A" w14:paraId="500D126C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DCDE4F8" w14:textId="6746A44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7BFF9F7" w14:textId="4F975E1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A437947" w14:textId="1BC77B4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D65322E" w14:textId="4D482F3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3E7E3E5C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150486A" w14:textId="1DBD49B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8E082D8" w14:textId="7EE7F5D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483130A" w14:textId="607C070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5F75356" w14:textId="796317B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1A2914A7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C425096" w14:textId="330C2B0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4F2B107" w14:textId="3228B8C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1362E65" w14:textId="3FD7EB0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2495AEA" w14:textId="0C2AFDD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04CEBF4E">
        <w:trPr>
          <w:trHeight w:val="255"/>
        </w:trPr>
        <w:tc>
          <w:tcPr>
            <w:tcW w:w="8577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98D5EB9" w14:textId="3CA6E6D5">
            <w:pPr>
              <w:bidi w:val="0"/>
              <w:spacing w:before="0" w:beforeAutospacing="off" w:after="0" w:afterAutospacing="off"/>
              <w:jc w:val="right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Total for Deliverable #4: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1482554" w14:textId="781E33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66B5BAF8" wp14:paraId="11CA9184" wp14:textId="6D811E5C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66B5BAF8" wp14:paraId="1A1BE513" wp14:textId="5CBD9F00">
      <w:pPr>
        <w:bidi w:val="0"/>
        <w:spacing w:before="0" w:beforeAutospacing="off" w:after="0" w:afterAutospacing="off"/>
      </w:pPr>
      <w:r w:rsidRPr="66B5BAF8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tbl>
      <w:tblPr>
        <w:tblStyle w:val="TableNormal"/>
        <w:bidiVisual w:val="0"/>
        <w:tblW w:w="0" w:type="auto"/>
        <w:tblLook w:val="04A0" w:firstRow="1" w:lastRow="0" w:firstColumn="1" w:lastColumn="0" w:noHBand="0" w:noVBand="1"/>
      </w:tblPr>
      <w:tblGrid>
        <w:gridCol w:w="5308"/>
        <w:gridCol w:w="1588"/>
        <w:gridCol w:w="1681"/>
        <w:gridCol w:w="780"/>
      </w:tblGrid>
      <w:tr w:rsidR="66B5BAF8" w:rsidTr="38ABC15A" w14:paraId="7BE3B11A">
        <w:trPr>
          <w:trHeight w:val="255"/>
        </w:trPr>
        <w:tc>
          <w:tcPr>
            <w:tcW w:w="9357" w:type="dxa"/>
            <w:gridSpan w:val="4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6E7E0CE" w14:textId="61A93D57">
            <w:pPr>
              <w:pStyle w:val="Normal"/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38ABC15A" w:rsidR="363C6E2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Activity </w:t>
            </w:r>
            <w:r w:rsidRPr="38ABC15A" w:rsidR="7FE4BD7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5</w:t>
            </w:r>
            <w:r w:rsidRPr="38ABC15A" w:rsidR="363C6E2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  <w:r w:rsidRPr="38ABC15A" w:rsidR="363C6E2E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8ABC15A" w:rsidR="28698ACD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Written Report and Recommendations</w:t>
            </w:r>
          </w:p>
          <w:p w:rsidR="66B5BAF8" w:rsidP="7E49A06F" w:rsidRDefault="66B5BAF8" w14:paraId="5522C625" w14:textId="151C4F82">
            <w:p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38ABC15A" w:rsidR="363C6E2E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66B5BAF8" w:rsidP="38ABC15A" w:rsidRDefault="66B5BAF8" w14:paraId="32F41705" w14:textId="63E9C417">
            <w:pPr>
              <w:pStyle w:val="Normal"/>
              <w:bidi w:val="0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8ABC15A" w:rsidR="363C6E2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Deliverable </w:t>
            </w:r>
            <w:r w:rsidRPr="38ABC15A" w:rsidR="581266C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5</w:t>
            </w:r>
            <w:r w:rsidRPr="38ABC15A" w:rsidR="363C6E2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  <w:r w:rsidRPr="38ABC15A" w:rsidR="23BF2A54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38ABC15A" w:rsidR="00E365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Provide a written report and recommendations to the Deputy Commissioner of the New York State Department of Health, Office of Health Equity and Human Rights. The report should include:</w:t>
            </w:r>
          </w:p>
          <w:p w:rsidR="66B5BAF8" w:rsidP="38ABC15A" w:rsidRDefault="66B5BAF8" w14:paraId="3D16EB26" w14:textId="7173AF02">
            <w:pPr>
              <w:pStyle w:val="ListParagraph"/>
              <w:widowControl w:val="1"/>
              <w:numPr>
                <w:ilvl w:val="1"/>
                <w:numId w:val="9"/>
              </w:num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8ABC15A" w:rsidR="00E365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Data, visualizations, graphics, key </w:t>
            </w:r>
            <w:r w:rsidRPr="38ABC15A" w:rsidR="00E365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findings</w:t>
            </w:r>
            <w:r w:rsidRPr="38ABC15A" w:rsidR="00E365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analysis.</w:t>
            </w:r>
          </w:p>
          <w:p w:rsidR="66B5BAF8" w:rsidP="38ABC15A" w:rsidRDefault="66B5BAF8" w14:paraId="6C467486" w14:textId="64F67F7B">
            <w:pPr>
              <w:pStyle w:val="ListParagraph"/>
              <w:widowControl w:val="1"/>
              <w:numPr>
                <w:ilvl w:val="1"/>
                <w:numId w:val="9"/>
              </w:num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8ABC15A" w:rsidR="00E365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All raw data should be attached.</w:t>
            </w:r>
          </w:p>
          <w:p w:rsidR="66B5BAF8" w:rsidP="38ABC15A" w:rsidRDefault="66B5BAF8" w14:paraId="296640A3" w14:textId="7E32D20F">
            <w:pPr>
              <w:pStyle w:val="ListParagraph"/>
              <w:widowControl w:val="1"/>
              <w:numPr>
                <w:ilvl w:val="1"/>
                <w:numId w:val="9"/>
              </w:numPr>
              <w:bidi w:val="0"/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38ABC15A" w:rsidR="00E365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Recommendations for next steps in staff development relating to The New York State Department of Health’s mission, vision, and values.</w:t>
            </w:r>
          </w:p>
        </w:tc>
      </w:tr>
      <w:tr w:rsidR="66B5BAF8" w:rsidTr="38ABC15A" w14:paraId="590C47AD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57987F1" w14:textId="78CB8C7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Personnel - Staff Title/Role</w:t>
            </w:r>
          </w:p>
        </w:tc>
        <w:tc>
          <w:tcPr>
            <w:tcW w:w="1588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58D87F5" w14:textId="5017829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Rate Per Hour</w:t>
            </w:r>
          </w:p>
        </w:tc>
        <w:tc>
          <w:tcPr>
            <w:tcW w:w="1681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8190743" w14:textId="5AB8EE3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Estimated Hours</w:t>
            </w:r>
          </w:p>
        </w:tc>
        <w:tc>
          <w:tcPr>
            <w:tcW w:w="78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41C1EAA2" w14:textId="25E4AFB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$ Amount </w:t>
            </w:r>
          </w:p>
        </w:tc>
      </w:tr>
      <w:tr w:rsidR="66B5BAF8" w:rsidTr="38ABC15A" w14:paraId="493B372F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85EAF30" w14:textId="68D92EE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A35DE3C" w14:textId="6E94FB2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8F8C3CF" w14:textId="24853FB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6791D95" w14:textId="2E0606C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17781409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4DABD98" w14:textId="457FAF1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0E359A0" w14:textId="5F06B68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B32515C" w14:textId="7B82E7B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4749A4D" w14:textId="6D87427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5A4F39D5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EC6D7A3" w14:textId="2FFD858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4BDCEC08" w14:textId="7E847EF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EFF631F" w14:textId="25EE87B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B4F6CA4" w14:textId="42A31FC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47CB70EF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7C8BF57" w14:textId="7B0E181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21FE79D" w14:textId="291F3EE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67BBAD9" w14:textId="13B0F0A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98D4B3B" w14:textId="43F9D96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15B98084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C36AF65" w14:textId="00175C9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1A9CFB0" w14:textId="1CA3E5E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36E9EA0" w14:textId="70CC1C8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46A719C" w14:textId="1EDEB6A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613ABCD6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CD0CD8A" w14:textId="7D01057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B12F47C" w14:textId="7BEA153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AECD611" w14:textId="3C860F5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347C0B5" w14:textId="189AA85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034C5789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6B7313D2" w14:textId="39C460A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825542C" w14:textId="7FB42F2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2A6CCFE" w14:textId="3DFD0D25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D29BEDE" w14:textId="2065A9F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6C818B94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7B8174E" w14:textId="375AA1A4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1811577" w14:textId="44F5D59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1E90074" w14:textId="3BE127B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9FF5FBF" w14:textId="1BFE131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37C2230E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EBEC922" w14:textId="32DC5A4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Non-Personnel (OTPS)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36EAD15A" w14:textId="147109D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Unit Cost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0BA6D35" w14:textId="3BEF219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Est. # of Units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747474" w:themeFill="background2" w:themeFillShade="80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C6AFD37" w14:textId="320BCB07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>$ Amount</w:t>
            </w:r>
          </w:p>
        </w:tc>
      </w:tr>
      <w:tr w:rsidR="66B5BAF8" w:rsidTr="38ABC15A" w14:paraId="145300D1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1DB1CFC" w14:textId="6746A44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83946F0" w14:textId="4F975E19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DF74A5B" w14:textId="1BC77B4F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A8840EF" w14:textId="4D482F3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25C5F3CA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933493E" w14:textId="1DBD49B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AF543A3" w14:textId="7EE7F5D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B68A2F6" w14:textId="607C070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75AB972F" w14:textId="796317B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5DA5B54D">
        <w:trPr>
          <w:trHeight w:val="255"/>
        </w:trPr>
        <w:tc>
          <w:tcPr>
            <w:tcW w:w="530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24449E1" w14:textId="330C2B03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0"/>
                <w:szCs w:val="20"/>
              </w:rPr>
              <w:t>Description of OTPS Cost:</w:t>
            </w:r>
          </w:p>
        </w:tc>
        <w:tc>
          <w:tcPr>
            <w:tcW w:w="1588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41F78CC9" w14:textId="3228B8C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  <w:tc>
          <w:tcPr>
            <w:tcW w:w="1681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0E44CC05" w14:textId="3FD7EB0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5209BA91" w14:textId="0C2AFDD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 xml:space="preserve">$ </w:t>
            </w:r>
          </w:p>
        </w:tc>
      </w:tr>
      <w:tr w:rsidR="66B5BAF8" w:rsidTr="38ABC15A" w14:paraId="73C14B0B">
        <w:trPr>
          <w:trHeight w:val="255"/>
        </w:trPr>
        <w:tc>
          <w:tcPr>
            <w:tcW w:w="8577" w:type="dxa"/>
            <w:gridSpan w:val="3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103AEA50" w14:textId="3CA6E6D5">
            <w:pPr>
              <w:bidi w:val="0"/>
              <w:spacing w:before="0" w:beforeAutospacing="off" w:after="0" w:afterAutospacing="off"/>
              <w:jc w:val="right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0"/>
                <w:szCs w:val="20"/>
              </w:rPr>
              <w:t xml:space="preserve">Total for Deliverable #4: </w:t>
            </w:r>
          </w:p>
        </w:tc>
        <w:tc>
          <w:tcPr>
            <w:tcW w:w="780" w:type="dxa"/>
            <w:tcBorders>
              <w:top w:val="single" w:color="808080" w:themeColor="background1" w:themeShade="80" w:sz="8"/>
              <w:left w:val="nil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center"/>
          </w:tcPr>
          <w:p w:rsidR="66B5BAF8" w:rsidP="66B5BAF8" w:rsidRDefault="66B5BAF8" w14:paraId="234F2DAD" w14:textId="781E33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$</w:t>
            </w:r>
          </w:p>
        </w:tc>
      </w:tr>
    </w:tbl>
    <w:p xmlns:wp14="http://schemas.microsoft.com/office/word/2010/wordml" w:rsidP="38ABC15A" wp14:paraId="16268212" wp14:textId="5F94E62B">
      <w:pPr>
        <w:pStyle w:val="Normal"/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38ABC15A" w:rsidR="518EB65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3521C5FC" wp14:paraId="7A4E566C" wp14:textId="1C103EB9">
      <w:p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xmlns:wp14="http://schemas.microsoft.com/office/word/2010/wordml" w:rsidP="66B5BAF8" wp14:paraId="17CEE19E" wp14:textId="03009F71">
      <w:pPr>
        <w:pStyle w:val="ListParagraph"/>
        <w:numPr>
          <w:ilvl w:val="0"/>
          <w:numId w:val="5"/>
        </w:numPr>
        <w:bidi w:val="0"/>
        <w:spacing w:before="0" w:beforeAutospacing="off" w:after="0" w:afterAutospacing="off"/>
        <w:ind w:left="360" w:right="0" w:hanging="360"/>
        <w:rPr>
          <w:rFonts w:ascii="Calibri" w:hAnsi="Calibri" w:eastAsia="Calibri" w:cs="Calibri"/>
          <w:noProof w:val="0"/>
          <w:color w:val="156082" w:themeColor="accent1" w:themeTint="FF" w:themeShade="FF"/>
          <w:sz w:val="28"/>
          <w:szCs w:val="28"/>
          <w:lang w:val="en-US"/>
        </w:rPr>
      </w:pPr>
      <w:r w:rsidRPr="66B5BAF8" w:rsidR="518EB651">
        <w:rPr>
          <w:rFonts w:ascii="Calibri" w:hAnsi="Calibri" w:eastAsia="Calibri" w:cs="Calibri"/>
          <w:noProof w:val="0"/>
          <w:color w:val="156082" w:themeColor="accent1" w:themeTint="FF" w:themeShade="FF"/>
          <w:sz w:val="28"/>
          <w:szCs w:val="28"/>
          <w:lang w:val="en-US"/>
        </w:rPr>
        <w:t>Budget Breakdown Table</w:t>
      </w:r>
    </w:p>
    <w:p xmlns:wp14="http://schemas.microsoft.com/office/word/2010/wordml" w:rsidP="66B5BAF8" wp14:paraId="269F0D11" wp14:textId="597ADED0">
      <w:pPr>
        <w:bidi w:val="0"/>
        <w:spacing w:before="0" w:beforeAutospacing="off" w:after="0" w:afterAutospacing="off"/>
        <w:ind w:left="360" w:right="0"/>
      </w:pPr>
      <w:r w:rsidRPr="66B5BAF8" w:rsidR="518EB651">
        <w:rPr>
          <w:rFonts w:ascii="Calibri" w:hAnsi="Calibri" w:eastAsia="Calibri" w:cs="Calibri"/>
          <w:b w:val="1"/>
          <w:bCs w:val="1"/>
          <w:noProof w:val="0"/>
          <w:sz w:val="12"/>
          <w:szCs w:val="12"/>
          <w:lang w:val="en-US"/>
        </w:rPr>
        <w:t xml:space="preserve"> </w:t>
      </w:r>
    </w:p>
    <w:p xmlns:wp14="http://schemas.microsoft.com/office/word/2010/wordml" w:rsidP="66B5BAF8" wp14:paraId="4347E218" wp14:textId="2BB5FE5E">
      <w:pPr>
        <w:pStyle w:val="ListParagraph"/>
        <w:numPr>
          <w:ilvl w:val="1"/>
          <w:numId w:val="5"/>
        </w:numPr>
        <w:bidi w:val="0"/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6B5BAF8" w:rsidR="6FC7827C">
        <w:rPr>
          <w:rFonts w:ascii="Calibri" w:hAnsi="Calibri" w:eastAsia="Calibri" w:cs="Calibri"/>
          <w:noProof w:val="0"/>
          <w:sz w:val="22"/>
          <w:szCs w:val="22"/>
          <w:lang w:val="en-US"/>
        </w:rPr>
        <w:t>Proposers</w:t>
      </w:r>
      <w:r w:rsidRPr="66B5BAF8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should take the total deliverable dollar amounts listed in the above deliverables tables and enter them in the table below. </w:t>
      </w:r>
    </w:p>
    <w:p xmlns:wp14="http://schemas.microsoft.com/office/word/2010/wordml" w:rsidP="7E49A06F" wp14:paraId="6EFBDF3E" wp14:textId="72D8772C">
      <w:pPr>
        <w:pStyle w:val="ListParagraph"/>
        <w:numPr>
          <w:ilvl w:val="1"/>
          <w:numId w:val="5"/>
        </w:numPr>
        <w:bidi w:val="0"/>
        <w:spacing w:before="0" w:beforeAutospacing="off" w:after="0" w:afterAutospacing="off"/>
        <w:ind w:left="720" w:right="0" w:hanging="36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E49A06F" w:rsidR="5BA6BB38">
        <w:rPr>
          <w:rFonts w:ascii="Calibri" w:hAnsi="Calibri" w:eastAsia="Calibri" w:cs="Calibri"/>
          <w:noProof w:val="0"/>
          <w:sz w:val="22"/>
          <w:szCs w:val="22"/>
          <w:lang w:val="en-US"/>
        </w:rPr>
        <w:t>Proposer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 should add each of the deliverables amounts to 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come up with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total funding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 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>Please note, total budget cannot exceed $</w:t>
      </w:r>
      <w:r w:rsidRPr="7E49A06F" w:rsidR="75C8E264">
        <w:rPr>
          <w:rFonts w:ascii="Calibri" w:hAnsi="Calibri" w:eastAsia="Calibri" w:cs="Calibri"/>
          <w:noProof w:val="0"/>
          <w:sz w:val="22"/>
          <w:szCs w:val="22"/>
          <w:lang w:val="en-US"/>
        </w:rPr>
        <w:t>50</w:t>
      </w:r>
      <w:r w:rsidRPr="7E49A06F" w:rsidR="518EB65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,000. </w:t>
      </w:r>
    </w:p>
    <w:p xmlns:wp14="http://schemas.microsoft.com/office/word/2010/wordml" w:rsidP="66B5BAF8" wp14:paraId="0F27AF98" wp14:textId="5681E647">
      <w:p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tbl>
      <w:tblPr>
        <w:tblStyle w:val="TableGrid"/>
        <w:bidiVisual w:val="0"/>
        <w:tblW w:w="0" w:type="auto"/>
        <w:tblInd w:w="360" w:type="dxa"/>
        <w:tblLook w:val="04A0" w:firstRow="1" w:lastRow="0" w:firstColumn="1" w:lastColumn="0" w:noHBand="0" w:noVBand="1"/>
      </w:tblPr>
      <w:tblGrid>
        <w:gridCol w:w="2370"/>
        <w:gridCol w:w="2550"/>
      </w:tblGrid>
      <w:tr w:rsidR="66B5BAF8" w:rsidTr="3521C5FC" w14:paraId="0BF05715">
        <w:trPr>
          <w:trHeight w:val="300"/>
        </w:trPr>
        <w:tc>
          <w:tcPr>
            <w:tcW w:w="4920" w:type="dxa"/>
            <w:gridSpan w:val="2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404040" w:themeFill="text1" w:themeFillTint="BF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6CE59A8" w14:textId="0691B74A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mallCaps w:val="1"/>
                <w:color w:val="FFFFFF" w:themeColor="background1" w:themeTint="FF" w:themeShade="FF"/>
                <w:sz w:val="22"/>
                <w:szCs w:val="22"/>
              </w:rPr>
              <w:t>2. Budget Breakdown</w:t>
            </w:r>
          </w:p>
          <w:p w:rsidR="66B5BAF8" w:rsidP="66B5BAF8" w:rsidRDefault="66B5BAF8" w14:paraId="4607A4F8" w14:textId="593A3B6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mallCaps w:val="1"/>
                <w:color w:val="FFFFFF" w:themeColor="background1" w:themeTint="FF" w:themeShade="FF"/>
                <w:sz w:val="22"/>
                <w:szCs w:val="22"/>
              </w:rPr>
              <w:t>Budget Period: 03/01/26 – 07/31/26</w:t>
            </w:r>
          </w:p>
        </w:tc>
      </w:tr>
      <w:tr w:rsidR="66B5BAF8" w:rsidTr="3521C5FC" w14:paraId="2E9A7608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156082" w:themeFill="accent1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691D6BE0" w14:textId="4F22825C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mallCaps w:val="1"/>
                <w:color w:val="FFFFFF" w:themeColor="background1" w:themeTint="FF" w:themeShade="FF"/>
                <w:sz w:val="22"/>
                <w:szCs w:val="22"/>
              </w:rPr>
              <w:t xml:space="preserve">Deliverable </w:t>
            </w:r>
          </w:p>
        </w:tc>
        <w:tc>
          <w:tcPr>
            <w:tcW w:w="2550" w:type="dxa"/>
            <w:tcBorders>
              <w:top w:val="nil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156082" w:themeFill="accent1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6C7158E" w14:textId="50DC851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mallCaps w:val="1"/>
                <w:color w:val="FFFFFF" w:themeColor="background1" w:themeTint="FF" w:themeShade="FF"/>
                <w:sz w:val="22"/>
                <w:szCs w:val="22"/>
              </w:rPr>
              <w:t>Deliverable $ Amount</w:t>
            </w:r>
          </w:p>
        </w:tc>
      </w:tr>
      <w:tr w:rsidR="66B5BAF8" w:rsidTr="3521C5FC" w14:paraId="5080546C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D079436" w14:textId="4026530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Deliverable 1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543940D3" w14:textId="2AFE276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66B5BAF8" w:rsidTr="3521C5FC" w14:paraId="31DCCA20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12E624A" w14:textId="53654C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Deliverable 2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30BDB4B" w14:textId="70671168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66B5BAF8" w:rsidTr="3521C5FC" w14:paraId="62D95FFD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594A6BF" w14:textId="6FCC0746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Deliverable 3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B68A7B7" w14:textId="69D657CD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66B5BAF8" w:rsidTr="3521C5FC" w14:paraId="512BF83F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CF3354C" w14:textId="46349BB1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Deliverable 4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319A781E" w14:textId="22E115B0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66B5BAF8" w:rsidTr="3521C5FC" w14:paraId="771B7BF1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1DABAD96" w14:textId="375909EB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Deliverable 5 Total</w:t>
            </w:r>
          </w:p>
        </w:tc>
        <w:tc>
          <w:tcPr>
            <w:tcW w:w="2550" w:type="dxa"/>
            <w:tcBorders>
              <w:top w:val="single" w:color="808080" w:themeColor="background1" w:themeShade="80" w:sz="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28CB6AF8" w14:textId="78E9107E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sz w:val="22"/>
                <w:szCs w:val="22"/>
              </w:rPr>
              <w:t>$</w:t>
            </w:r>
          </w:p>
        </w:tc>
      </w:tr>
      <w:tr w:rsidR="66B5BAF8" w:rsidTr="3521C5FC" w14:paraId="6034EC7E">
        <w:trPr>
          <w:trHeight w:val="300"/>
        </w:trPr>
        <w:tc>
          <w:tcPr>
            <w:tcW w:w="2370" w:type="dxa"/>
            <w:tcBorders>
              <w:top w:val="single" w:color="808080" w:themeColor="background1" w:themeShade="80" w:sz="1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05D56626" w14:textId="21CEF54A">
            <w:pPr>
              <w:bidi w:val="0"/>
              <w:spacing w:before="0" w:beforeAutospacing="off" w:after="0" w:afterAutospacing="off"/>
              <w:jc w:val="right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mallCaps w:val="1"/>
                <w:color w:val="FFFFFF" w:themeColor="background1" w:themeTint="FF" w:themeShade="FF"/>
                <w:sz w:val="22"/>
                <w:szCs w:val="22"/>
              </w:rPr>
              <w:t>Total Budget:</w:t>
            </w:r>
          </w:p>
        </w:tc>
        <w:tc>
          <w:tcPr>
            <w:tcW w:w="2550" w:type="dxa"/>
            <w:tcBorders>
              <w:top w:val="single" w:color="808080" w:themeColor="background1" w:themeShade="80" w:sz="18"/>
              <w:left w:val="single" w:color="808080" w:themeColor="background1" w:themeShade="80" w:sz="8"/>
              <w:bottom w:val="single" w:color="808080" w:themeColor="background1" w:themeShade="80" w:sz="8"/>
              <w:right w:val="single" w:color="808080" w:themeColor="background1" w:themeShade="80" w:sz="8"/>
            </w:tcBorders>
            <w:tcMar>
              <w:left w:w="108" w:type="dxa"/>
              <w:right w:w="108" w:type="dxa"/>
            </w:tcMar>
            <w:vAlign w:val="top"/>
          </w:tcPr>
          <w:p w:rsidR="66B5BAF8" w:rsidP="66B5BAF8" w:rsidRDefault="66B5BAF8" w14:paraId="7E5F86C9" w14:textId="574441F2">
            <w:pPr>
              <w:bidi w:val="0"/>
              <w:spacing w:before="0" w:beforeAutospacing="off" w:after="0" w:afterAutospacing="off"/>
            </w:pPr>
            <w:r w:rsidRPr="66B5BAF8" w:rsidR="66B5BAF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$</w:t>
            </w:r>
          </w:p>
        </w:tc>
      </w:tr>
    </w:tbl>
    <w:p xmlns:wp14="http://schemas.microsoft.com/office/word/2010/wordml" wp14:paraId="2C078E63" wp14:textId="46D96C20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4a931294af04c35"/>
      <w:footerReference w:type="default" r:id="R959cef5497d0494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B5BAF8" w:rsidTr="66B5BAF8" w14:paraId="27E1EA95">
      <w:trPr>
        <w:trHeight w:val="300"/>
      </w:trPr>
      <w:tc>
        <w:tcPr>
          <w:tcW w:w="3120" w:type="dxa"/>
          <w:tcMar/>
        </w:tcPr>
        <w:p w:rsidR="66B5BAF8" w:rsidP="66B5BAF8" w:rsidRDefault="66B5BAF8" w14:paraId="1E8D8520" w14:textId="54A58FC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6B5BAF8" w:rsidP="66B5BAF8" w:rsidRDefault="66B5BAF8" w14:paraId="1505A648" w14:textId="43585F3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6B5BAF8" w:rsidP="66B5BAF8" w:rsidRDefault="66B5BAF8" w14:paraId="104DE5B0" w14:textId="5D558773">
          <w:pPr>
            <w:pStyle w:val="Header"/>
            <w:bidi w:val="0"/>
            <w:ind w:right="-115"/>
            <w:jc w:val="right"/>
          </w:pPr>
        </w:p>
      </w:tc>
    </w:tr>
  </w:tbl>
  <w:p w:rsidR="66B5BAF8" w:rsidP="66B5BAF8" w:rsidRDefault="66B5BAF8" w14:paraId="28CB93E6" w14:textId="5E79798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9477" w:type="dxa"/>
      <w:tblLook w:val="06A0" w:firstRow="1" w:lastRow="0" w:firstColumn="1" w:lastColumn="0" w:noHBand="1" w:noVBand="1"/>
    </w:tblPr>
    <w:tblGrid>
      <w:gridCol w:w="7170"/>
      <w:gridCol w:w="2307"/>
    </w:tblGrid>
    <w:tr w:rsidR="66B5BAF8" w:rsidTr="38ABC15A" w14:paraId="04E83A66">
      <w:trPr>
        <w:trHeight w:val="300"/>
      </w:trPr>
      <w:tc>
        <w:tcPr>
          <w:tcW w:w="7170" w:type="dxa"/>
          <w:tcMar/>
        </w:tcPr>
        <w:p w:rsidR="66B5BAF8" w:rsidP="7E49A06F" w:rsidRDefault="66B5BAF8" w14:paraId="4CF59241" w14:textId="642378A7">
          <w:pPr>
            <w:pStyle w:val="Header"/>
            <w:bidi w:val="0"/>
            <w:ind w:left="-115"/>
            <w:jc w:val="left"/>
            <w:rPr>
              <w:rFonts w:ascii="Calibri" w:hAnsi="Calibri" w:eastAsia="Calibri" w:cs="Calibri"/>
              <w:sz w:val="24"/>
              <w:szCs w:val="24"/>
            </w:rPr>
          </w:pPr>
          <w:r w:rsidRPr="38ABC15A" w:rsidR="38ABC15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Attachment 3</w:t>
          </w:r>
          <w:r w:rsidRPr="38ABC15A" w:rsidR="38ABC15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c</w:t>
          </w:r>
          <w:r w:rsidRPr="38ABC15A" w:rsidR="38ABC15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: </w:t>
          </w:r>
          <w:r w:rsidRPr="38ABC15A" w:rsidR="38ABC15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Component</w:t>
          </w:r>
          <w:r w:rsidRPr="38ABC15A" w:rsidR="38ABC15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 </w:t>
          </w:r>
          <w:r w:rsidRPr="38ABC15A" w:rsidR="38ABC15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C</w:t>
          </w:r>
          <w:r w:rsidRPr="38ABC15A" w:rsidR="38ABC15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 </w:t>
          </w:r>
          <w:r w:rsidRPr="38ABC15A" w:rsidR="38ABC15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Organizational Survey</w:t>
          </w:r>
          <w:r w:rsidRPr="38ABC15A" w:rsidR="38ABC15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 xml:space="preserve"> </w:t>
          </w:r>
          <w:r w:rsidRPr="38ABC15A" w:rsidR="38ABC15A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Budget Template</w:t>
          </w:r>
          <w:r w:rsidRPr="38ABC15A" w:rsidR="38ABC15A">
            <w:rPr>
              <w:rFonts w:ascii="Calibri" w:hAnsi="Calibri" w:eastAsia="Calibri" w:cs="Calibri"/>
              <w:sz w:val="24"/>
              <w:szCs w:val="24"/>
            </w:rPr>
            <w:t xml:space="preserve"> </w:t>
          </w:r>
        </w:p>
      </w:tc>
      <w:tc>
        <w:tcPr>
          <w:tcW w:w="2307" w:type="dxa"/>
          <w:tcMar/>
        </w:tcPr>
        <w:p w:rsidR="66B5BAF8" w:rsidP="7E49A06F" w:rsidRDefault="66B5BAF8" w14:paraId="0CF2CD57" w14:textId="622C3F4F">
          <w:pPr>
            <w:pStyle w:val="Header"/>
            <w:bidi w:val="0"/>
            <w:jc w:val="center"/>
            <w:rPr>
              <w:rFonts w:ascii="Calibri" w:hAnsi="Calibri" w:eastAsia="Calibri" w:cs="Calibri"/>
              <w:noProof w:val="0"/>
              <w:sz w:val="24"/>
              <w:szCs w:val="24"/>
              <w:lang w:val="en-US"/>
            </w:rPr>
          </w:pPr>
          <w:r w:rsidRPr="7E49A06F" w:rsidR="7E49A06F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strike w:val="0"/>
              <w:dstrike w:val="0"/>
              <w:noProof w:val="0"/>
              <w:color w:val="000000" w:themeColor="text1" w:themeTint="FF" w:themeShade="FF"/>
              <w:sz w:val="24"/>
              <w:szCs w:val="24"/>
              <w:u w:val="none"/>
              <w:lang w:val="en-US"/>
            </w:rPr>
            <w:t>OHEHR 2026-02</w:t>
          </w:r>
        </w:p>
      </w:tc>
    </w:tr>
  </w:tbl>
  <w:p w:rsidR="66B5BAF8" w:rsidP="7E49A06F" w:rsidRDefault="66B5BAF8" w14:paraId="3B382F06" w14:textId="2401E925">
    <w:pPr>
      <w:pStyle w:val="Header"/>
      <w:bidi w:val="0"/>
      <w:rPr>
        <w:rFonts w:ascii="Arial" w:hAnsi="Arial" w:eastAsia="Arial" w:cs="Arial"/>
      </w:rPr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3ca8023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/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462d6e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8b56e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6e8f04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f601fa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116c138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91536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/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dab77d4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f1c00f5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4934f55e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40e2c7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42a0ba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ac1ea4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21b05c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6b88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3DBD0B"/>
    <w:rsid w:val="00E36571"/>
    <w:rsid w:val="0127C7CC"/>
    <w:rsid w:val="017ABCF1"/>
    <w:rsid w:val="02CE845D"/>
    <w:rsid w:val="02F05044"/>
    <w:rsid w:val="031255F2"/>
    <w:rsid w:val="047EBDC5"/>
    <w:rsid w:val="057C3C24"/>
    <w:rsid w:val="05F9F79B"/>
    <w:rsid w:val="063F1C86"/>
    <w:rsid w:val="068331A6"/>
    <w:rsid w:val="068331A6"/>
    <w:rsid w:val="079BD8C0"/>
    <w:rsid w:val="0923FDF7"/>
    <w:rsid w:val="0AE42435"/>
    <w:rsid w:val="0BC7E49E"/>
    <w:rsid w:val="0CF8D486"/>
    <w:rsid w:val="0D93CD32"/>
    <w:rsid w:val="0E970DD5"/>
    <w:rsid w:val="0FD9F2FB"/>
    <w:rsid w:val="0FD9F2FB"/>
    <w:rsid w:val="10AE3087"/>
    <w:rsid w:val="167A609E"/>
    <w:rsid w:val="16F21F92"/>
    <w:rsid w:val="174189DC"/>
    <w:rsid w:val="174189DC"/>
    <w:rsid w:val="17424FE6"/>
    <w:rsid w:val="1748FCAF"/>
    <w:rsid w:val="18307C0D"/>
    <w:rsid w:val="19463D36"/>
    <w:rsid w:val="1A66A322"/>
    <w:rsid w:val="1B3763FA"/>
    <w:rsid w:val="1CAC9CFE"/>
    <w:rsid w:val="1DA55F01"/>
    <w:rsid w:val="1E9F54BF"/>
    <w:rsid w:val="20477231"/>
    <w:rsid w:val="20F81407"/>
    <w:rsid w:val="20F81407"/>
    <w:rsid w:val="213BBDB7"/>
    <w:rsid w:val="2323E58A"/>
    <w:rsid w:val="23BF2A54"/>
    <w:rsid w:val="254D1450"/>
    <w:rsid w:val="258685FC"/>
    <w:rsid w:val="25ED3C8B"/>
    <w:rsid w:val="25ED3C8B"/>
    <w:rsid w:val="2612342F"/>
    <w:rsid w:val="26218B8F"/>
    <w:rsid w:val="26D94907"/>
    <w:rsid w:val="27C7E47F"/>
    <w:rsid w:val="2808C74E"/>
    <w:rsid w:val="28698ACD"/>
    <w:rsid w:val="29AB9776"/>
    <w:rsid w:val="2A10900F"/>
    <w:rsid w:val="2ABBD82C"/>
    <w:rsid w:val="2ABF5E16"/>
    <w:rsid w:val="2BD0C58C"/>
    <w:rsid w:val="2BEEB152"/>
    <w:rsid w:val="2C7F4EF7"/>
    <w:rsid w:val="2CBED6A5"/>
    <w:rsid w:val="2D2693A9"/>
    <w:rsid w:val="2D5AE43E"/>
    <w:rsid w:val="30413351"/>
    <w:rsid w:val="31781FB5"/>
    <w:rsid w:val="32AE4366"/>
    <w:rsid w:val="32F34E7F"/>
    <w:rsid w:val="32F34E7F"/>
    <w:rsid w:val="3444C941"/>
    <w:rsid w:val="3521C5FC"/>
    <w:rsid w:val="357F7DF6"/>
    <w:rsid w:val="363C6E2E"/>
    <w:rsid w:val="3662D701"/>
    <w:rsid w:val="378BFD3B"/>
    <w:rsid w:val="37E21E06"/>
    <w:rsid w:val="38ABC15A"/>
    <w:rsid w:val="38E921B0"/>
    <w:rsid w:val="39C43C32"/>
    <w:rsid w:val="3A43D90D"/>
    <w:rsid w:val="3ABA82EC"/>
    <w:rsid w:val="3AEA5806"/>
    <w:rsid w:val="3B5B8462"/>
    <w:rsid w:val="3B8008B5"/>
    <w:rsid w:val="3BB49C5C"/>
    <w:rsid w:val="3C927D92"/>
    <w:rsid w:val="3D75118A"/>
    <w:rsid w:val="3F33203D"/>
    <w:rsid w:val="4162B341"/>
    <w:rsid w:val="41BDD726"/>
    <w:rsid w:val="42695253"/>
    <w:rsid w:val="427681B3"/>
    <w:rsid w:val="4279008A"/>
    <w:rsid w:val="43716866"/>
    <w:rsid w:val="43B25C26"/>
    <w:rsid w:val="45CA7B9F"/>
    <w:rsid w:val="45F06736"/>
    <w:rsid w:val="47863B6B"/>
    <w:rsid w:val="483DBD0B"/>
    <w:rsid w:val="485EFA74"/>
    <w:rsid w:val="4863FD91"/>
    <w:rsid w:val="48901E8F"/>
    <w:rsid w:val="498F97DB"/>
    <w:rsid w:val="49B37CB4"/>
    <w:rsid w:val="4ACC1056"/>
    <w:rsid w:val="4BE84B04"/>
    <w:rsid w:val="4C32CB8F"/>
    <w:rsid w:val="4D385561"/>
    <w:rsid w:val="4D70967F"/>
    <w:rsid w:val="518EB651"/>
    <w:rsid w:val="51B8C4E3"/>
    <w:rsid w:val="52117865"/>
    <w:rsid w:val="529E53EC"/>
    <w:rsid w:val="52C9A1C0"/>
    <w:rsid w:val="532E2F07"/>
    <w:rsid w:val="536F56ED"/>
    <w:rsid w:val="54706D03"/>
    <w:rsid w:val="549F8C87"/>
    <w:rsid w:val="553C9F20"/>
    <w:rsid w:val="581266C6"/>
    <w:rsid w:val="59827FFA"/>
    <w:rsid w:val="5A83D9A5"/>
    <w:rsid w:val="5A8942B1"/>
    <w:rsid w:val="5BA6BB38"/>
    <w:rsid w:val="5BB510E5"/>
    <w:rsid w:val="5F9B2B12"/>
    <w:rsid w:val="615BCFB4"/>
    <w:rsid w:val="658752ED"/>
    <w:rsid w:val="6608F1DB"/>
    <w:rsid w:val="668B75CB"/>
    <w:rsid w:val="66B5BAF8"/>
    <w:rsid w:val="66CD38B1"/>
    <w:rsid w:val="67C0E3F0"/>
    <w:rsid w:val="6A10EB1A"/>
    <w:rsid w:val="6C727671"/>
    <w:rsid w:val="6D4CC140"/>
    <w:rsid w:val="6D66598A"/>
    <w:rsid w:val="6D82A5EF"/>
    <w:rsid w:val="6E389AD5"/>
    <w:rsid w:val="6F6B262E"/>
    <w:rsid w:val="6FC7827C"/>
    <w:rsid w:val="72291277"/>
    <w:rsid w:val="72EA484E"/>
    <w:rsid w:val="73726D5A"/>
    <w:rsid w:val="73FC0983"/>
    <w:rsid w:val="741CE478"/>
    <w:rsid w:val="749E6FB6"/>
    <w:rsid w:val="758BE803"/>
    <w:rsid w:val="75C8E264"/>
    <w:rsid w:val="77E3DF39"/>
    <w:rsid w:val="7A995DD4"/>
    <w:rsid w:val="7E49A06F"/>
    <w:rsid w:val="7E844A50"/>
    <w:rsid w:val="7F170DAD"/>
    <w:rsid w:val="7FE4B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DBD0B"/>
  <w15:chartTrackingRefBased/>
  <w15:docId w15:val="{E49DABA7-AC7D-4415-AC47-F84A1D116E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6B5BAF8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66B5BAF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6B5BAF8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4a931294af04c35" /><Relationship Type="http://schemas.openxmlformats.org/officeDocument/2006/relationships/footer" Target="footer.xml" Id="R959cef5497d0494e" /><Relationship Type="http://schemas.openxmlformats.org/officeDocument/2006/relationships/numbering" Target="numbering.xml" Id="R56f14a4fcefd453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2026-05-05T16:35:27.7368063Z</dcterms:created>
  <dcterms:modified xsi:type="dcterms:W3CDTF">2026-05-18T13:36:51.6731374Z</dcterms:modified>
  <dc:creator>Tracy, Megan (HEALTH)</dc:creator>
  <lastModifiedBy>Tracy, Megan (HEALTH)</lastModifiedBy>
</coreProperties>
</file>